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8A" w:rsidRDefault="00244C8A">
      <w:pPr>
        <w:rPr>
          <w:rFonts w:ascii="Arial" w:hAnsi="Arial" w:cs="Arial"/>
          <w:b/>
          <w:color w:val="192A67"/>
          <w:sz w:val="20"/>
          <w:szCs w:val="20"/>
        </w:rPr>
      </w:pPr>
      <w:r>
        <w:rPr>
          <w:rFonts w:ascii="Arial" w:hAnsi="Arial" w:cs="Arial"/>
          <w:b/>
          <w:noProof/>
          <w:color w:val="192A67"/>
          <w:sz w:val="20"/>
          <w:szCs w:val="20"/>
          <w:lang w:eastAsia="en-AU"/>
        </w:rPr>
        <mc:AlternateContent>
          <mc:Choice Requires="wps">
            <w:drawing>
              <wp:anchor distT="45720" distB="45720" distL="114300" distR="114300" simplePos="0" relativeHeight="251659264" behindDoc="0" locked="0" layoutInCell="1" allowOverlap="1">
                <wp:simplePos x="0" y="0"/>
                <wp:positionH relativeFrom="page">
                  <wp:posOffset>5857875</wp:posOffset>
                </wp:positionH>
                <wp:positionV relativeFrom="paragraph">
                  <wp:posOffset>481330</wp:posOffset>
                </wp:positionV>
                <wp:extent cx="1476375" cy="8286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28675"/>
                        </a:xfrm>
                        <a:prstGeom prst="rect">
                          <a:avLst/>
                        </a:prstGeom>
                        <a:noFill/>
                        <a:ln w="9525">
                          <a:noFill/>
                          <a:miter lim="800000"/>
                          <a:headEnd/>
                          <a:tailEnd/>
                        </a:ln>
                      </wps:spPr>
                      <wps:txbx>
                        <w:txbxContent>
                          <w:p w:rsidR="00244C8A" w:rsidRPr="00065AAF" w:rsidRDefault="00244C8A" w:rsidP="00244C8A">
                            <w:pPr>
                              <w:rPr>
                                <w:rFonts w:ascii="Arial" w:hAnsi="Arial" w:cs="Arial"/>
                                <w:b/>
                                <w:color w:val="FFFFFF"/>
                                <w:sz w:val="28"/>
                                <w:szCs w:val="28"/>
                                <w:lang w:val="en-US"/>
                              </w:rPr>
                            </w:pPr>
                            <w:r>
                              <w:rPr>
                                <w:rFonts w:ascii="Arial" w:hAnsi="Arial" w:cs="Arial"/>
                                <w:b/>
                                <w:color w:val="FFFFFF"/>
                                <w:sz w:val="28"/>
                                <w:szCs w:val="28"/>
                                <w:lang w:val="en-US"/>
                              </w:rPr>
                              <w:t>SA Audit – PPC/My Public Accountants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61.25pt;margin-top:37.9pt;width:116.25pt;height:6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" filled="f" stroked="f">
                <v:textbox>
                  <w:txbxContent>
                    <w:p w:rsidR="00244C8A" w:rsidRPr="00065AAF" w:rsidRDefault="00244C8A" w:rsidP="00244C8A">
                      <w:pPr>
                        <w:rPr>
                          <w:rFonts w:ascii="Arial" w:hAnsi="Arial" w:cs="Arial"/>
                          <w:b/>
                          <w:color w:val="FFFFFF"/>
                          <w:sz w:val="28"/>
                          <w:szCs w:val="28"/>
                          <w:lang w:val="en-US"/>
                        </w:rPr>
                      </w:pPr>
                      <w:r>
                        <w:rPr>
                          <w:rFonts w:ascii="Arial" w:hAnsi="Arial" w:cs="Arial"/>
                          <w:b/>
                          <w:color w:val="FFFFFF"/>
                          <w:sz w:val="28"/>
                          <w:szCs w:val="28"/>
                          <w:lang w:val="en-US"/>
                        </w:rPr>
                        <w:t>SA Audit – PPC/My Public Accountants</w:t>
                      </w:r>
                    </w:p>
                  </w:txbxContent>
                </v:textbox>
                <w10:wrap type="square" anchorx="page"/>
              </v:shape>
            </w:pict>
          </mc:Fallback>
        </mc:AlternateContent>
      </w:r>
    </w:p>
    <w:p w:rsidR="00C5755B" w:rsidRPr="00244C8A" w:rsidRDefault="00244C8A">
      <w:pPr>
        <w:rPr>
          <w:rFonts w:ascii="Arial" w:hAnsi="Arial" w:cs="Arial"/>
          <w:b/>
          <w:color w:val="192A67"/>
          <w:sz w:val="20"/>
          <w:szCs w:val="20"/>
        </w:rPr>
      </w:pPr>
      <w:r>
        <w:rPr>
          <w:rFonts w:ascii="Arial" w:hAnsi="Arial" w:cs="Arial"/>
          <w:b/>
          <w:noProof/>
          <w:color w:val="192A67"/>
          <w:sz w:val="20"/>
          <w:szCs w:val="20"/>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86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0B4" w:rsidRPr="00244C8A">
        <w:rPr>
          <w:rFonts w:ascii="Arial" w:hAnsi="Arial" w:cs="Arial"/>
          <w:b/>
          <w:color w:val="192A67"/>
          <w:sz w:val="20"/>
          <w:szCs w:val="20"/>
        </w:rPr>
        <w:t>S</w:t>
      </w:r>
      <w:r w:rsidR="004867B6" w:rsidRPr="00244C8A">
        <w:rPr>
          <w:rFonts w:ascii="Arial" w:hAnsi="Arial" w:cs="Arial"/>
          <w:b/>
          <w:color w:val="192A67"/>
          <w:sz w:val="20"/>
          <w:szCs w:val="20"/>
        </w:rPr>
        <w:t>A</w:t>
      </w:r>
      <w:r w:rsidR="006D5F69" w:rsidRPr="00244C8A">
        <w:rPr>
          <w:rFonts w:ascii="Arial" w:hAnsi="Arial" w:cs="Arial"/>
          <w:b/>
          <w:color w:val="192A67"/>
          <w:sz w:val="20"/>
          <w:szCs w:val="20"/>
        </w:rPr>
        <w:t xml:space="preserve"> </w:t>
      </w:r>
      <w:r w:rsidR="0068209E" w:rsidRPr="00244C8A">
        <w:rPr>
          <w:rFonts w:ascii="Arial" w:hAnsi="Arial" w:cs="Arial"/>
          <w:b/>
          <w:color w:val="192A67"/>
          <w:sz w:val="20"/>
          <w:szCs w:val="20"/>
        </w:rPr>
        <w:t>Audit – PPC/My Public Accountant</w:t>
      </w:r>
      <w:bookmarkStart w:id="0" w:name="_GoBack"/>
      <w:bookmarkEnd w:id="0"/>
    </w:p>
    <w:p w:rsidR="00EB039F" w:rsidRPr="00244C8A" w:rsidRDefault="00EB039F" w:rsidP="00EB039F">
      <w:pPr>
        <w:rPr>
          <w:rFonts w:ascii="Arial" w:hAnsi="Arial" w:cs="Arial"/>
          <w:color w:val="192A67"/>
          <w:sz w:val="20"/>
          <w:szCs w:val="20"/>
        </w:rPr>
      </w:pPr>
      <w:r w:rsidRPr="00244C8A">
        <w:rPr>
          <w:rFonts w:ascii="Arial" w:hAnsi="Arial" w:cs="Arial"/>
          <w:b/>
          <w:color w:val="192A67"/>
          <w:sz w:val="20"/>
          <w:szCs w:val="20"/>
        </w:rPr>
        <w:t>SMSF Audit</w:t>
      </w:r>
    </w:p>
    <w:p w:rsidR="00EB039F" w:rsidRPr="00244C8A" w:rsidRDefault="00EB039F" w:rsidP="00EB039F">
      <w:pPr>
        <w:rPr>
          <w:rFonts w:ascii="Arial" w:hAnsi="Arial" w:cs="Arial"/>
          <w:color w:val="192A67"/>
          <w:sz w:val="20"/>
          <w:szCs w:val="20"/>
        </w:rPr>
      </w:pPr>
      <w:r w:rsidRPr="00244C8A">
        <w:rPr>
          <w:rFonts w:ascii="Arial" w:hAnsi="Arial" w:cs="Arial"/>
          <w:color w:val="192A67"/>
          <w:sz w:val="20"/>
          <w:szCs w:val="20"/>
        </w:rPr>
        <w:t>ASIC registration of SMSF Auditors.</w:t>
      </w:r>
    </w:p>
    <w:p w:rsidR="00EB039F" w:rsidRPr="00244C8A" w:rsidRDefault="00EB039F" w:rsidP="00EB039F">
      <w:pPr>
        <w:rPr>
          <w:rFonts w:ascii="Arial" w:hAnsi="Arial" w:cs="Arial"/>
          <w:color w:val="192A67"/>
          <w:sz w:val="20"/>
          <w:szCs w:val="20"/>
        </w:rPr>
      </w:pPr>
      <w:r w:rsidRPr="00244C8A">
        <w:rPr>
          <w:rFonts w:ascii="Arial" w:hAnsi="Arial" w:cs="Arial"/>
          <w:color w:val="192A67"/>
          <w:sz w:val="20"/>
          <w:szCs w:val="20"/>
        </w:rPr>
        <w:t>As of 1 July 2013 all SMSF auditors must be registered with ASIC. Components to registration include:</w:t>
      </w:r>
    </w:p>
    <w:p w:rsidR="00EB039F" w:rsidRPr="00244C8A" w:rsidRDefault="00EB039F" w:rsidP="00EB039F">
      <w:pPr>
        <w:pStyle w:val="ListParagraph"/>
        <w:numPr>
          <w:ilvl w:val="0"/>
          <w:numId w:val="2"/>
        </w:numPr>
        <w:rPr>
          <w:rFonts w:ascii="Arial" w:hAnsi="Arial" w:cs="Arial"/>
          <w:color w:val="192A67"/>
          <w:sz w:val="20"/>
          <w:szCs w:val="20"/>
        </w:rPr>
      </w:pPr>
      <w:r w:rsidRPr="00244C8A">
        <w:rPr>
          <w:rFonts w:ascii="Arial" w:hAnsi="Arial" w:cs="Arial"/>
          <w:color w:val="192A67"/>
          <w:sz w:val="20"/>
          <w:szCs w:val="20"/>
        </w:rPr>
        <w:t>Fit &amp; proper person test – must not have serious criminal or fraud conviction, not be a bankrupt;</w:t>
      </w:r>
    </w:p>
    <w:p w:rsidR="00EB039F" w:rsidRPr="00244C8A" w:rsidRDefault="00EB039F" w:rsidP="00EB039F">
      <w:pPr>
        <w:pStyle w:val="ListParagraph"/>
        <w:numPr>
          <w:ilvl w:val="0"/>
          <w:numId w:val="2"/>
        </w:numPr>
        <w:rPr>
          <w:rFonts w:ascii="Arial" w:hAnsi="Arial" w:cs="Arial"/>
          <w:color w:val="192A67"/>
          <w:sz w:val="20"/>
          <w:szCs w:val="20"/>
        </w:rPr>
      </w:pPr>
      <w:r w:rsidRPr="00244C8A">
        <w:rPr>
          <w:rFonts w:ascii="Arial" w:hAnsi="Arial" w:cs="Arial"/>
          <w:color w:val="192A67"/>
          <w:sz w:val="20"/>
          <w:szCs w:val="20"/>
        </w:rPr>
        <w:t>Tertiary education in accounting (includes TAFE Advanced Diploma) being a three year qualification in accounting;</w:t>
      </w:r>
    </w:p>
    <w:p w:rsidR="00EB039F" w:rsidRPr="00244C8A" w:rsidRDefault="00EB039F" w:rsidP="00EB039F">
      <w:pPr>
        <w:pStyle w:val="ListParagraph"/>
        <w:numPr>
          <w:ilvl w:val="0"/>
          <w:numId w:val="2"/>
        </w:numPr>
        <w:rPr>
          <w:rFonts w:ascii="Arial" w:hAnsi="Arial" w:cs="Arial"/>
          <w:color w:val="192A67"/>
          <w:sz w:val="20"/>
          <w:szCs w:val="20"/>
        </w:rPr>
      </w:pPr>
      <w:r w:rsidRPr="00244C8A">
        <w:rPr>
          <w:rFonts w:ascii="Arial" w:hAnsi="Arial" w:cs="Arial"/>
          <w:color w:val="192A67"/>
          <w:sz w:val="20"/>
          <w:szCs w:val="20"/>
        </w:rPr>
        <w:t>Must have an audit subject as part of their underlying degree or as part of professional program or SPAA Advanced Auditor course;</w:t>
      </w:r>
    </w:p>
    <w:p w:rsidR="00EB039F" w:rsidRPr="00244C8A" w:rsidRDefault="00EB039F" w:rsidP="00EB039F">
      <w:pPr>
        <w:pStyle w:val="ListParagraph"/>
        <w:numPr>
          <w:ilvl w:val="0"/>
          <w:numId w:val="2"/>
        </w:numPr>
        <w:rPr>
          <w:rFonts w:ascii="Arial" w:hAnsi="Arial" w:cs="Arial"/>
          <w:color w:val="192A67"/>
          <w:sz w:val="20"/>
          <w:szCs w:val="20"/>
        </w:rPr>
      </w:pPr>
      <w:r w:rsidRPr="00244C8A">
        <w:rPr>
          <w:rFonts w:ascii="Arial" w:hAnsi="Arial" w:cs="Arial"/>
          <w:color w:val="192A67"/>
          <w:sz w:val="20"/>
          <w:szCs w:val="20"/>
        </w:rPr>
        <w:t>Have done 300 hours experience in SMSF audits in last 3 years; and</w:t>
      </w:r>
    </w:p>
    <w:p w:rsidR="00EB039F" w:rsidRPr="00244C8A" w:rsidRDefault="00EB039F" w:rsidP="00EB039F">
      <w:pPr>
        <w:pStyle w:val="ListParagraph"/>
        <w:numPr>
          <w:ilvl w:val="0"/>
          <w:numId w:val="2"/>
        </w:numPr>
        <w:rPr>
          <w:rFonts w:ascii="Arial" w:hAnsi="Arial" w:cs="Arial"/>
          <w:color w:val="192A67"/>
          <w:sz w:val="20"/>
          <w:szCs w:val="20"/>
        </w:rPr>
      </w:pPr>
      <w:r w:rsidRPr="00244C8A">
        <w:rPr>
          <w:rFonts w:ascii="Arial" w:hAnsi="Arial" w:cs="Arial"/>
          <w:color w:val="192A67"/>
          <w:sz w:val="20"/>
          <w:szCs w:val="20"/>
        </w:rPr>
        <w:t>Sit a competency exam.</w:t>
      </w:r>
    </w:p>
    <w:p w:rsidR="00EB039F" w:rsidRPr="00244C8A" w:rsidRDefault="00EB039F" w:rsidP="00EB039F">
      <w:pPr>
        <w:rPr>
          <w:rFonts w:ascii="Arial" w:hAnsi="Arial" w:cs="Arial"/>
          <w:color w:val="192A67"/>
          <w:sz w:val="20"/>
          <w:szCs w:val="20"/>
        </w:rPr>
      </w:pPr>
      <w:r w:rsidRPr="00244C8A">
        <w:rPr>
          <w:rFonts w:ascii="Arial" w:hAnsi="Arial" w:cs="Arial"/>
          <w:color w:val="192A67"/>
          <w:sz w:val="20"/>
          <w:szCs w:val="20"/>
        </w:rPr>
        <w:t>Members with overseas qualifications will need to have their qualifications assessed.  IPA can do the assessment of a member’s overseas qualification.</w:t>
      </w:r>
    </w:p>
    <w:p w:rsidR="00EB039F" w:rsidRPr="00244C8A" w:rsidRDefault="00EB039F" w:rsidP="00EB039F">
      <w:pPr>
        <w:rPr>
          <w:rFonts w:ascii="Arial" w:hAnsi="Arial" w:cs="Arial"/>
          <w:color w:val="192A67"/>
          <w:sz w:val="20"/>
          <w:szCs w:val="20"/>
        </w:rPr>
      </w:pPr>
      <w:r w:rsidRPr="00244C8A">
        <w:rPr>
          <w:rFonts w:ascii="Arial" w:hAnsi="Arial" w:cs="Arial"/>
          <w:b/>
          <w:color w:val="192A67"/>
          <w:sz w:val="20"/>
          <w:szCs w:val="20"/>
        </w:rPr>
        <w:t>Trust Account Audit</w:t>
      </w:r>
    </w:p>
    <w:p w:rsidR="00EB039F" w:rsidRPr="00244C8A" w:rsidRDefault="00EB039F" w:rsidP="00EB039F">
      <w:pPr>
        <w:rPr>
          <w:rFonts w:ascii="Arial" w:hAnsi="Arial" w:cs="Arial"/>
          <w:color w:val="192A67"/>
          <w:sz w:val="20"/>
          <w:szCs w:val="20"/>
        </w:rPr>
      </w:pPr>
      <w:r w:rsidRPr="00244C8A">
        <w:rPr>
          <w:rFonts w:ascii="Arial" w:hAnsi="Arial" w:cs="Arial"/>
          <w:i/>
          <w:color w:val="192A67"/>
          <w:sz w:val="20"/>
          <w:szCs w:val="20"/>
        </w:rPr>
        <w:t>Accountant’s Trust Accounts</w:t>
      </w:r>
    </w:p>
    <w:p w:rsidR="00EB039F" w:rsidRPr="00244C8A" w:rsidRDefault="00EB039F" w:rsidP="00EB039F">
      <w:pPr>
        <w:rPr>
          <w:rFonts w:ascii="Arial" w:hAnsi="Arial" w:cs="Arial"/>
          <w:color w:val="192A67"/>
          <w:sz w:val="20"/>
          <w:szCs w:val="20"/>
        </w:rPr>
      </w:pPr>
      <w:r w:rsidRPr="00244C8A">
        <w:rPr>
          <w:rFonts w:ascii="Arial" w:hAnsi="Arial" w:cs="Arial"/>
          <w:color w:val="192A67"/>
          <w:sz w:val="20"/>
          <w:szCs w:val="20"/>
        </w:rPr>
        <w:t xml:space="preserve">APES 310 </w:t>
      </w:r>
      <w:r w:rsidRPr="00244C8A">
        <w:rPr>
          <w:rFonts w:ascii="Arial" w:hAnsi="Arial" w:cs="Arial"/>
          <w:i/>
          <w:color w:val="192A67"/>
          <w:sz w:val="20"/>
          <w:szCs w:val="20"/>
        </w:rPr>
        <w:t>Dealing with Client Monies</w:t>
      </w:r>
      <w:r w:rsidRPr="00244C8A">
        <w:rPr>
          <w:rFonts w:ascii="Arial" w:hAnsi="Arial" w:cs="Arial"/>
          <w:color w:val="192A67"/>
          <w:sz w:val="20"/>
          <w:szCs w:val="20"/>
        </w:rPr>
        <w:t xml:space="preserve"> relates to monies coming into control of a Member in Public Practice (the Member) which are the property of a client to which the Member has no present entitlement.  The Member may deal with client monies through a trust account or a client’s bank account.  Members who hold a certificate of public practice of IPA, CPA and CAANZ are able to undertake a trust account audit for another accountant.  </w:t>
      </w:r>
    </w:p>
    <w:p w:rsidR="001849ED" w:rsidRPr="00244C8A" w:rsidRDefault="001849ED" w:rsidP="00AA1C97">
      <w:pPr>
        <w:rPr>
          <w:rFonts w:ascii="Arial" w:hAnsi="Arial" w:cs="Arial"/>
          <w:color w:val="192A67"/>
          <w:sz w:val="20"/>
          <w:szCs w:val="20"/>
        </w:rPr>
      </w:pPr>
      <w:r w:rsidRPr="00244C8A">
        <w:rPr>
          <w:rFonts w:ascii="Arial" w:hAnsi="Arial" w:cs="Arial"/>
          <w:i/>
          <w:color w:val="192A67"/>
          <w:sz w:val="20"/>
          <w:szCs w:val="20"/>
        </w:rPr>
        <w:t xml:space="preserve">Solicitor’s Trust Account </w:t>
      </w:r>
      <w:r w:rsidR="002E491A" w:rsidRPr="00244C8A">
        <w:rPr>
          <w:rFonts w:ascii="Arial" w:hAnsi="Arial" w:cs="Arial"/>
          <w:i/>
          <w:color w:val="192A67"/>
          <w:sz w:val="20"/>
          <w:szCs w:val="20"/>
        </w:rPr>
        <w:t>SA</w:t>
      </w:r>
    </w:p>
    <w:p w:rsidR="0059288B" w:rsidRPr="00244C8A" w:rsidRDefault="00084BA7" w:rsidP="00AA1C97">
      <w:pPr>
        <w:rPr>
          <w:rFonts w:ascii="Arial" w:hAnsi="Arial" w:cs="Arial"/>
          <w:color w:val="192A67"/>
          <w:sz w:val="20"/>
          <w:szCs w:val="20"/>
        </w:rPr>
      </w:pPr>
      <w:r w:rsidRPr="00244C8A">
        <w:rPr>
          <w:rFonts w:ascii="Arial" w:hAnsi="Arial" w:cs="Arial"/>
          <w:color w:val="192A67"/>
          <w:sz w:val="20"/>
          <w:szCs w:val="20"/>
          <w:lang w:val="en"/>
        </w:rPr>
        <w:t>Where the law practice deals with trust money’s</w:t>
      </w:r>
      <w:r w:rsidR="0059288B" w:rsidRPr="00244C8A">
        <w:rPr>
          <w:rFonts w:ascii="Arial" w:hAnsi="Arial" w:cs="Arial"/>
          <w:color w:val="192A67"/>
          <w:sz w:val="20"/>
          <w:szCs w:val="20"/>
          <w:lang w:val="en"/>
        </w:rPr>
        <w:t xml:space="preserve">, the law practice must appoint a designated person for the purposes of the </w:t>
      </w:r>
      <w:r w:rsidR="0059288B" w:rsidRPr="00244C8A">
        <w:rPr>
          <w:rFonts w:ascii="Arial" w:hAnsi="Arial" w:cs="Arial"/>
          <w:i/>
          <w:iCs/>
          <w:color w:val="192A67"/>
          <w:sz w:val="20"/>
          <w:szCs w:val="20"/>
          <w:lang w:val="en"/>
        </w:rPr>
        <w:t>Legal Practitioners Act 1981</w:t>
      </w:r>
      <w:r w:rsidR="0059288B" w:rsidRPr="00244C8A">
        <w:rPr>
          <w:rFonts w:ascii="Arial" w:hAnsi="Arial" w:cs="Arial"/>
          <w:color w:val="192A67"/>
          <w:sz w:val="20"/>
          <w:szCs w:val="20"/>
          <w:lang w:val="en"/>
        </w:rPr>
        <w:t>, or a firm of public account</w:t>
      </w:r>
      <w:r w:rsidRPr="00244C8A">
        <w:rPr>
          <w:rFonts w:ascii="Arial" w:hAnsi="Arial" w:cs="Arial"/>
          <w:color w:val="192A67"/>
          <w:sz w:val="20"/>
          <w:szCs w:val="20"/>
          <w:lang w:val="en"/>
        </w:rPr>
        <w:t>ant</w:t>
      </w:r>
      <w:r w:rsidR="0059288B" w:rsidRPr="00244C8A">
        <w:rPr>
          <w:rFonts w:ascii="Arial" w:hAnsi="Arial" w:cs="Arial"/>
          <w:color w:val="192A67"/>
          <w:sz w:val="20"/>
          <w:szCs w:val="20"/>
          <w:lang w:val="en"/>
        </w:rPr>
        <w:t xml:space="preserve">s with at least one designated person as a member, to be the external examiner.  The Law Society of South Australia can designate a person to be appointed as an external examiner or any firm of public accountants listed on the </w:t>
      </w:r>
      <w:hyperlink r:id="rId9" w:history="1">
        <w:r w:rsidR="0059288B" w:rsidRPr="00244C8A">
          <w:rPr>
            <w:rStyle w:val="Hyperlink"/>
            <w:rFonts w:ascii="Arial" w:hAnsi="Arial" w:cs="Arial"/>
            <w:color w:val="192A67"/>
            <w:sz w:val="20"/>
            <w:szCs w:val="20"/>
          </w:rPr>
          <w:t>law society's website</w:t>
        </w:r>
      </w:hyperlink>
      <w:r w:rsidR="0059288B" w:rsidRPr="00244C8A">
        <w:rPr>
          <w:rFonts w:ascii="Arial" w:hAnsi="Arial" w:cs="Arial"/>
          <w:color w:val="192A67"/>
          <w:sz w:val="20"/>
          <w:szCs w:val="20"/>
        </w:rPr>
        <w:t>.</w:t>
      </w:r>
    </w:p>
    <w:p w:rsidR="00084BA7" w:rsidRPr="00244C8A" w:rsidRDefault="00084BA7" w:rsidP="00084BA7">
      <w:pPr>
        <w:rPr>
          <w:rFonts w:ascii="Arial" w:hAnsi="Arial" w:cs="Arial"/>
          <w:color w:val="192A67"/>
          <w:sz w:val="20"/>
          <w:szCs w:val="20"/>
        </w:rPr>
      </w:pPr>
      <w:r w:rsidRPr="00244C8A">
        <w:rPr>
          <w:rFonts w:ascii="Arial" w:hAnsi="Arial" w:cs="Arial"/>
          <w:color w:val="192A67"/>
          <w:sz w:val="20"/>
          <w:szCs w:val="20"/>
        </w:rPr>
        <w:t xml:space="preserve">To apply to the Law Society of South Australia to be a designated person, the applicant must be a principal in an accounting practice in South Australia who has completed the </w:t>
      </w:r>
      <w:r w:rsidRPr="00244C8A">
        <w:rPr>
          <w:rFonts w:ascii="Arial" w:hAnsi="Arial" w:cs="Arial"/>
          <w:i/>
          <w:color w:val="192A67"/>
          <w:sz w:val="20"/>
          <w:szCs w:val="20"/>
        </w:rPr>
        <w:t>Basic Solicitor’s Trust Account Audit Course</w:t>
      </w:r>
      <w:r w:rsidRPr="00244C8A">
        <w:rPr>
          <w:rFonts w:ascii="Arial" w:hAnsi="Arial" w:cs="Arial"/>
          <w:color w:val="192A67"/>
          <w:sz w:val="20"/>
          <w:szCs w:val="20"/>
        </w:rPr>
        <w:t xml:space="preserve"> conducted by the Law Society of South Australia and be a member of the IPA, CPA or CAANZ or a Registered Company Auditor.</w:t>
      </w:r>
    </w:p>
    <w:p w:rsidR="001849ED" w:rsidRPr="00244C8A" w:rsidRDefault="000C1810" w:rsidP="00AA1C97">
      <w:pPr>
        <w:rPr>
          <w:rFonts w:ascii="Arial" w:hAnsi="Arial" w:cs="Arial"/>
          <w:i/>
          <w:color w:val="192A67"/>
          <w:sz w:val="20"/>
          <w:szCs w:val="20"/>
        </w:rPr>
      </w:pPr>
      <w:r w:rsidRPr="00244C8A">
        <w:rPr>
          <w:rFonts w:ascii="Arial" w:hAnsi="Arial" w:cs="Arial"/>
          <w:i/>
          <w:color w:val="192A67"/>
          <w:sz w:val="20"/>
          <w:szCs w:val="20"/>
        </w:rPr>
        <w:t xml:space="preserve">Land </w:t>
      </w:r>
      <w:r w:rsidR="00A52491" w:rsidRPr="00244C8A">
        <w:rPr>
          <w:rFonts w:ascii="Arial" w:hAnsi="Arial" w:cs="Arial"/>
          <w:i/>
          <w:color w:val="192A67"/>
          <w:sz w:val="20"/>
          <w:szCs w:val="20"/>
        </w:rPr>
        <w:t>Agents</w:t>
      </w:r>
    </w:p>
    <w:p w:rsidR="00B6368A" w:rsidRPr="00244C8A" w:rsidRDefault="000C1810" w:rsidP="00A52491">
      <w:pPr>
        <w:shd w:val="clear" w:color="auto" w:fill="FFFFFF"/>
        <w:spacing w:after="100" w:afterAutospacing="1" w:line="240" w:lineRule="auto"/>
        <w:rPr>
          <w:rFonts w:ascii="Arial" w:eastAsia="Times New Roman" w:hAnsi="Arial" w:cs="Arial"/>
          <w:color w:val="192A67"/>
          <w:sz w:val="20"/>
          <w:szCs w:val="20"/>
          <w:lang w:eastAsia="en-AU"/>
        </w:rPr>
      </w:pPr>
      <w:r w:rsidRPr="00244C8A">
        <w:rPr>
          <w:rFonts w:ascii="Arial" w:eastAsia="Times New Roman" w:hAnsi="Arial" w:cs="Arial"/>
          <w:color w:val="192A67"/>
          <w:sz w:val="20"/>
          <w:szCs w:val="20"/>
          <w:lang w:eastAsia="en-AU"/>
        </w:rPr>
        <w:lastRenderedPageBreak/>
        <w:t xml:space="preserve">Land Agents </w:t>
      </w:r>
      <w:r w:rsidR="004116C1" w:rsidRPr="00244C8A">
        <w:rPr>
          <w:rFonts w:ascii="Arial" w:eastAsia="Times New Roman" w:hAnsi="Arial" w:cs="Arial"/>
          <w:color w:val="192A67"/>
          <w:sz w:val="20"/>
          <w:szCs w:val="20"/>
          <w:lang w:eastAsia="en-AU"/>
        </w:rPr>
        <w:t xml:space="preserve">Act 1994 </w:t>
      </w:r>
      <w:r w:rsidRPr="00244C8A">
        <w:rPr>
          <w:rFonts w:ascii="Arial" w:eastAsia="Times New Roman" w:hAnsi="Arial" w:cs="Arial"/>
          <w:color w:val="192A67"/>
          <w:sz w:val="20"/>
          <w:szCs w:val="20"/>
          <w:lang w:eastAsia="en-AU"/>
        </w:rPr>
        <w:t>says land agents must have a trust account and this must be audited annually.  Act defines auditor as a Registered Company Auditor or such other persons as set out in regulations as an auditor.  Current regulations does not extend definition further</w:t>
      </w:r>
      <w:r w:rsidR="004116C1" w:rsidRPr="00244C8A">
        <w:rPr>
          <w:rFonts w:ascii="Arial" w:eastAsia="Times New Roman" w:hAnsi="Arial" w:cs="Arial"/>
          <w:color w:val="192A67"/>
          <w:sz w:val="20"/>
          <w:szCs w:val="20"/>
          <w:lang w:eastAsia="en-AU"/>
        </w:rPr>
        <w:t xml:space="preserve"> to include a member of the IPA</w:t>
      </w:r>
      <w:r w:rsidRPr="00244C8A">
        <w:rPr>
          <w:rFonts w:ascii="Arial" w:eastAsia="Times New Roman" w:hAnsi="Arial" w:cs="Arial"/>
          <w:color w:val="192A67"/>
          <w:sz w:val="20"/>
          <w:szCs w:val="20"/>
          <w:lang w:eastAsia="en-AU"/>
        </w:rPr>
        <w:t xml:space="preserve">.  </w:t>
      </w:r>
    </w:p>
    <w:p w:rsidR="00A27D59" w:rsidRPr="00244C8A" w:rsidRDefault="00A27D59" w:rsidP="00AA1C97">
      <w:pPr>
        <w:rPr>
          <w:rStyle w:val="Emphasis"/>
          <w:rFonts w:ascii="Arial" w:hAnsi="Arial" w:cs="Arial"/>
          <w:i w:val="0"/>
          <w:color w:val="192A67"/>
          <w:sz w:val="20"/>
          <w:szCs w:val="20"/>
        </w:rPr>
      </w:pPr>
      <w:r w:rsidRPr="00244C8A">
        <w:rPr>
          <w:rStyle w:val="Emphasis"/>
          <w:rFonts w:ascii="Arial" w:hAnsi="Arial" w:cs="Arial"/>
          <w:color w:val="192A67"/>
          <w:sz w:val="20"/>
          <w:szCs w:val="20"/>
        </w:rPr>
        <w:t>Travel Agent Trust Account</w:t>
      </w:r>
    </w:p>
    <w:p w:rsidR="00877C98" w:rsidRPr="00244C8A" w:rsidRDefault="00877C98" w:rsidP="008F38D4">
      <w:pPr>
        <w:pStyle w:val="NoSpacing"/>
        <w:rPr>
          <w:rFonts w:ascii="Arial" w:hAnsi="Arial" w:cs="Arial"/>
          <w:color w:val="192A67"/>
          <w:sz w:val="20"/>
          <w:szCs w:val="20"/>
          <w:lang w:val="en" w:eastAsia="en-AU"/>
        </w:rPr>
      </w:pPr>
      <w:r w:rsidRPr="00244C8A">
        <w:rPr>
          <w:rFonts w:ascii="Arial" w:hAnsi="Arial" w:cs="Arial"/>
          <w:color w:val="192A67"/>
          <w:sz w:val="20"/>
          <w:szCs w:val="20"/>
          <w:lang w:val="en" w:eastAsia="en-AU"/>
        </w:rPr>
        <w:t xml:space="preserve">Since 1 July 2013, travel agents are no longer required to lodged audited annual financial returns to the Travel Compensation Fund (TCF).  A voluntary industry accreditation scheme has been introduced by </w:t>
      </w:r>
      <w:r w:rsidRPr="00244C8A">
        <w:rPr>
          <w:rFonts w:ascii="Arial" w:hAnsi="Arial" w:cs="Arial"/>
          <w:color w:val="192A67"/>
          <w:sz w:val="20"/>
          <w:szCs w:val="20"/>
          <w:lang w:val="en"/>
        </w:rPr>
        <w:t>AFTA Travel Accreditation Scheme.</w:t>
      </w:r>
    </w:p>
    <w:p w:rsidR="00EB039F" w:rsidRPr="00244C8A" w:rsidRDefault="00EB039F" w:rsidP="00EB039F">
      <w:pPr>
        <w:pStyle w:val="NoSpacing"/>
        <w:rPr>
          <w:rStyle w:val="Emphasis"/>
          <w:rFonts w:ascii="Arial" w:hAnsi="Arial" w:cs="Arial"/>
          <w:b/>
          <w:i w:val="0"/>
          <w:color w:val="192A67"/>
          <w:sz w:val="20"/>
          <w:szCs w:val="20"/>
        </w:rPr>
      </w:pPr>
    </w:p>
    <w:p w:rsidR="00B6368A" w:rsidRPr="00244C8A" w:rsidRDefault="008F38D4" w:rsidP="00EB039F">
      <w:pPr>
        <w:pStyle w:val="NoSpacing"/>
        <w:rPr>
          <w:rStyle w:val="Emphasis"/>
          <w:rFonts w:ascii="Arial" w:hAnsi="Arial" w:cs="Arial"/>
          <w:b/>
          <w:i w:val="0"/>
          <w:color w:val="192A67"/>
          <w:sz w:val="20"/>
          <w:szCs w:val="20"/>
        </w:rPr>
      </w:pPr>
      <w:r w:rsidRPr="00244C8A">
        <w:rPr>
          <w:rStyle w:val="Emphasis"/>
          <w:rFonts w:ascii="Arial" w:hAnsi="Arial" w:cs="Arial"/>
          <w:b/>
          <w:i w:val="0"/>
          <w:color w:val="192A67"/>
          <w:sz w:val="20"/>
          <w:szCs w:val="20"/>
        </w:rPr>
        <w:t>Incorporated Association</w:t>
      </w:r>
    </w:p>
    <w:p w:rsidR="00EB039F" w:rsidRPr="00244C8A" w:rsidRDefault="00EB039F" w:rsidP="00EB039F">
      <w:pPr>
        <w:pStyle w:val="NoSpacing"/>
        <w:rPr>
          <w:rFonts w:ascii="Arial" w:hAnsi="Arial" w:cs="Arial"/>
          <w:color w:val="192A67"/>
          <w:sz w:val="20"/>
          <w:szCs w:val="20"/>
          <w:lang w:val="en-US"/>
        </w:rPr>
      </w:pPr>
    </w:p>
    <w:p w:rsidR="009D01FD" w:rsidRPr="00244C8A" w:rsidRDefault="009D01FD" w:rsidP="00EB039F">
      <w:pPr>
        <w:pStyle w:val="NoSpacing"/>
        <w:rPr>
          <w:rFonts w:ascii="Arial" w:hAnsi="Arial" w:cs="Arial"/>
          <w:color w:val="192A67"/>
          <w:sz w:val="20"/>
          <w:szCs w:val="20"/>
          <w:lang w:val="en-US"/>
        </w:rPr>
      </w:pPr>
      <w:r w:rsidRPr="00244C8A">
        <w:rPr>
          <w:rFonts w:ascii="Arial" w:hAnsi="Arial" w:cs="Arial"/>
          <w:color w:val="192A67"/>
          <w:sz w:val="20"/>
          <w:szCs w:val="20"/>
          <w:lang w:val="en-US"/>
        </w:rPr>
        <w:t xml:space="preserve">A prescribed association is defined </w:t>
      </w:r>
      <w:r w:rsidR="008F38D4" w:rsidRPr="00244C8A">
        <w:rPr>
          <w:rFonts w:ascii="Arial" w:hAnsi="Arial" w:cs="Arial"/>
          <w:color w:val="192A67"/>
          <w:sz w:val="20"/>
          <w:szCs w:val="20"/>
          <w:lang w:val="en-US"/>
        </w:rPr>
        <w:t xml:space="preserve">under the </w:t>
      </w:r>
      <w:r w:rsidR="008F38D4" w:rsidRPr="00244C8A">
        <w:rPr>
          <w:rFonts w:ascii="Arial" w:hAnsi="Arial" w:cs="Arial"/>
          <w:i/>
          <w:color w:val="192A67"/>
          <w:sz w:val="20"/>
          <w:szCs w:val="20"/>
          <w:lang w:val="en-US"/>
        </w:rPr>
        <w:t>Associations Incorporated Act</w:t>
      </w:r>
      <w:r w:rsidR="008F38D4" w:rsidRPr="00244C8A">
        <w:rPr>
          <w:rFonts w:ascii="Arial" w:hAnsi="Arial" w:cs="Arial"/>
          <w:color w:val="192A67"/>
          <w:sz w:val="20"/>
          <w:szCs w:val="20"/>
          <w:lang w:val="en-US"/>
        </w:rPr>
        <w:t xml:space="preserve"> 1985 (the Act) </w:t>
      </w:r>
      <w:r w:rsidRPr="00244C8A">
        <w:rPr>
          <w:rFonts w:ascii="Arial" w:hAnsi="Arial" w:cs="Arial"/>
          <w:color w:val="192A67"/>
          <w:sz w:val="20"/>
          <w:szCs w:val="20"/>
          <w:lang w:val="en-US"/>
        </w:rPr>
        <w:t xml:space="preserve">as an incorporated association that had gross receipts in excess of $500,000 per annum in the </w:t>
      </w:r>
      <w:r w:rsidR="00EB039F" w:rsidRPr="00244C8A">
        <w:rPr>
          <w:rFonts w:ascii="Arial" w:hAnsi="Arial" w:cs="Arial"/>
          <w:color w:val="192A67"/>
          <w:sz w:val="20"/>
          <w:szCs w:val="20"/>
          <w:lang w:val="en-US"/>
        </w:rPr>
        <w:t>a</w:t>
      </w:r>
      <w:r w:rsidRPr="00244C8A">
        <w:rPr>
          <w:rFonts w:ascii="Arial" w:hAnsi="Arial" w:cs="Arial"/>
          <w:color w:val="192A67"/>
          <w:sz w:val="20"/>
          <w:szCs w:val="20"/>
          <w:lang w:val="en-US"/>
        </w:rPr>
        <w:t>ssoci</w:t>
      </w:r>
      <w:r w:rsidR="00425515" w:rsidRPr="00244C8A">
        <w:rPr>
          <w:rFonts w:ascii="Arial" w:hAnsi="Arial" w:cs="Arial"/>
          <w:color w:val="192A67"/>
          <w:sz w:val="20"/>
          <w:szCs w:val="20"/>
          <w:lang w:val="en-US"/>
        </w:rPr>
        <w:t>ation’s previous financial year and is required to have their accounts audited.</w:t>
      </w:r>
    </w:p>
    <w:p w:rsidR="00EB039F" w:rsidRPr="00244C8A" w:rsidRDefault="00EB039F" w:rsidP="00EB039F">
      <w:pPr>
        <w:pStyle w:val="NoSpacing"/>
        <w:rPr>
          <w:rFonts w:ascii="Arial" w:eastAsia="Times New Roman" w:hAnsi="Arial" w:cs="Arial"/>
          <w:color w:val="192A67"/>
          <w:sz w:val="20"/>
          <w:szCs w:val="20"/>
          <w:lang w:val="en-US" w:eastAsia="en-AU"/>
        </w:rPr>
      </w:pPr>
    </w:p>
    <w:p w:rsidR="000C1810" w:rsidRPr="00244C8A" w:rsidRDefault="00EB039F" w:rsidP="00EB039F">
      <w:pPr>
        <w:pStyle w:val="NoSpacing"/>
        <w:rPr>
          <w:rFonts w:ascii="Arial" w:eastAsia="Times New Roman" w:hAnsi="Arial" w:cs="Arial"/>
          <w:color w:val="192A67"/>
          <w:sz w:val="20"/>
          <w:szCs w:val="20"/>
          <w:lang w:val="en-US" w:eastAsia="en-AU"/>
        </w:rPr>
      </w:pPr>
      <w:r w:rsidRPr="00244C8A">
        <w:rPr>
          <w:rFonts w:ascii="Arial" w:eastAsia="Times New Roman" w:hAnsi="Arial" w:cs="Arial"/>
          <w:color w:val="192A67"/>
          <w:sz w:val="20"/>
          <w:szCs w:val="20"/>
          <w:lang w:val="en-US" w:eastAsia="en-AU"/>
        </w:rPr>
        <w:t xml:space="preserve">Under </w:t>
      </w:r>
      <w:r w:rsidR="008F38D4" w:rsidRPr="00244C8A">
        <w:rPr>
          <w:rFonts w:ascii="Arial" w:eastAsia="Times New Roman" w:hAnsi="Arial" w:cs="Arial"/>
          <w:color w:val="192A67"/>
          <w:sz w:val="20"/>
          <w:szCs w:val="20"/>
          <w:lang w:val="en-US" w:eastAsia="en-AU"/>
        </w:rPr>
        <w:t>S</w:t>
      </w:r>
      <w:r w:rsidR="009D01FD" w:rsidRPr="00244C8A">
        <w:rPr>
          <w:rFonts w:ascii="Arial" w:eastAsia="Times New Roman" w:hAnsi="Arial" w:cs="Arial"/>
          <w:color w:val="192A67"/>
          <w:sz w:val="20"/>
          <w:szCs w:val="20"/>
          <w:lang w:val="en-US" w:eastAsia="en-AU"/>
        </w:rPr>
        <w:t>ection 35(2)(6)</w:t>
      </w:r>
      <w:r w:rsidR="008F38D4" w:rsidRPr="00244C8A">
        <w:rPr>
          <w:rFonts w:ascii="Arial" w:eastAsia="Times New Roman" w:hAnsi="Arial" w:cs="Arial"/>
          <w:color w:val="192A67"/>
          <w:sz w:val="20"/>
          <w:szCs w:val="20"/>
          <w:lang w:val="en-US" w:eastAsia="en-AU"/>
        </w:rPr>
        <w:t xml:space="preserve"> of the Act</w:t>
      </w:r>
      <w:r w:rsidR="009D01FD" w:rsidRPr="00244C8A">
        <w:rPr>
          <w:rFonts w:ascii="Arial" w:eastAsia="Times New Roman" w:hAnsi="Arial" w:cs="Arial"/>
          <w:color w:val="192A67"/>
          <w:sz w:val="20"/>
          <w:szCs w:val="20"/>
          <w:lang w:val="en-US" w:eastAsia="en-AU"/>
        </w:rPr>
        <w:t>, t</w:t>
      </w:r>
      <w:r w:rsidR="000C1810" w:rsidRPr="00244C8A">
        <w:rPr>
          <w:rFonts w:ascii="Arial" w:eastAsia="Times New Roman" w:hAnsi="Arial" w:cs="Arial"/>
          <w:color w:val="192A67"/>
          <w:sz w:val="20"/>
          <w:szCs w:val="20"/>
          <w:lang w:val="en-US" w:eastAsia="en-AU"/>
        </w:rPr>
        <w:t>he auditor of a prescribed association must be either a:</w:t>
      </w:r>
    </w:p>
    <w:p w:rsidR="000C1810" w:rsidRPr="00244C8A" w:rsidRDefault="000C1810" w:rsidP="00EB039F">
      <w:pPr>
        <w:pStyle w:val="NoSpacing"/>
        <w:numPr>
          <w:ilvl w:val="0"/>
          <w:numId w:val="14"/>
        </w:numPr>
        <w:rPr>
          <w:rFonts w:ascii="Arial" w:eastAsia="Times New Roman" w:hAnsi="Arial" w:cs="Arial"/>
          <w:color w:val="192A67"/>
          <w:sz w:val="20"/>
          <w:szCs w:val="20"/>
          <w:lang w:val="en-US" w:eastAsia="en-AU"/>
        </w:rPr>
      </w:pPr>
      <w:r w:rsidRPr="00244C8A">
        <w:rPr>
          <w:rFonts w:ascii="Arial" w:eastAsia="Times New Roman" w:hAnsi="Arial" w:cs="Arial"/>
          <w:color w:val="192A67"/>
          <w:sz w:val="20"/>
          <w:szCs w:val="20"/>
          <w:lang w:val="en-US" w:eastAsia="en-AU"/>
        </w:rPr>
        <w:t>registered company auditor</w:t>
      </w:r>
    </w:p>
    <w:p w:rsidR="000C1810" w:rsidRPr="00244C8A" w:rsidRDefault="000C1810" w:rsidP="00EB039F">
      <w:pPr>
        <w:pStyle w:val="NoSpacing"/>
        <w:numPr>
          <w:ilvl w:val="0"/>
          <w:numId w:val="14"/>
        </w:numPr>
        <w:rPr>
          <w:rFonts w:ascii="Arial" w:eastAsia="Times New Roman" w:hAnsi="Arial" w:cs="Arial"/>
          <w:color w:val="192A67"/>
          <w:sz w:val="20"/>
          <w:szCs w:val="20"/>
          <w:lang w:val="en-US" w:eastAsia="en-AU"/>
        </w:rPr>
      </w:pPr>
      <w:r w:rsidRPr="00244C8A">
        <w:rPr>
          <w:rFonts w:ascii="Arial" w:eastAsia="Times New Roman" w:hAnsi="Arial" w:cs="Arial"/>
          <w:color w:val="192A67"/>
          <w:sz w:val="20"/>
          <w:szCs w:val="20"/>
          <w:lang w:val="en-US" w:eastAsia="en-AU"/>
        </w:rPr>
        <w:t>firm of registered company auditors</w:t>
      </w:r>
    </w:p>
    <w:p w:rsidR="000C1810" w:rsidRPr="00244C8A" w:rsidRDefault="000C1810" w:rsidP="00EB039F">
      <w:pPr>
        <w:pStyle w:val="NoSpacing"/>
        <w:numPr>
          <w:ilvl w:val="0"/>
          <w:numId w:val="14"/>
        </w:numPr>
        <w:rPr>
          <w:rFonts w:ascii="Arial" w:eastAsia="Times New Roman" w:hAnsi="Arial" w:cs="Arial"/>
          <w:color w:val="192A67"/>
          <w:sz w:val="20"/>
          <w:szCs w:val="20"/>
          <w:lang w:val="en-US" w:eastAsia="en-AU"/>
        </w:rPr>
      </w:pPr>
      <w:r w:rsidRPr="00244C8A">
        <w:rPr>
          <w:rFonts w:ascii="Arial" w:eastAsia="Times New Roman" w:hAnsi="Arial" w:cs="Arial"/>
          <w:color w:val="192A67"/>
          <w:sz w:val="20"/>
          <w:szCs w:val="20"/>
          <w:lang w:val="en-US" w:eastAsia="en-AU"/>
        </w:rPr>
        <w:t xml:space="preserve">member of </w:t>
      </w:r>
      <w:r w:rsidR="00EB039F" w:rsidRPr="00244C8A">
        <w:rPr>
          <w:rFonts w:ascii="Arial" w:eastAsia="Times New Roman" w:hAnsi="Arial" w:cs="Arial"/>
          <w:color w:val="192A67"/>
          <w:sz w:val="20"/>
          <w:szCs w:val="20"/>
          <w:lang w:val="en-US" w:eastAsia="en-AU"/>
        </w:rPr>
        <w:t>CPA or CAANZ</w:t>
      </w:r>
    </w:p>
    <w:p w:rsidR="000C1810" w:rsidRPr="00244C8A" w:rsidRDefault="000C1810" w:rsidP="00EB039F">
      <w:pPr>
        <w:pStyle w:val="NoSpacing"/>
        <w:numPr>
          <w:ilvl w:val="0"/>
          <w:numId w:val="14"/>
        </w:numPr>
        <w:rPr>
          <w:rFonts w:ascii="Arial" w:eastAsia="Times New Roman" w:hAnsi="Arial" w:cs="Arial"/>
          <w:color w:val="192A67"/>
          <w:sz w:val="20"/>
          <w:szCs w:val="20"/>
          <w:lang w:val="en-US" w:eastAsia="en-AU"/>
        </w:rPr>
      </w:pPr>
      <w:r w:rsidRPr="00244C8A">
        <w:rPr>
          <w:rFonts w:ascii="Arial" w:eastAsia="Times New Roman" w:hAnsi="Arial" w:cs="Arial"/>
          <w:color w:val="192A67"/>
          <w:sz w:val="20"/>
          <w:szCs w:val="20"/>
          <w:lang w:val="en-US" w:eastAsia="en-AU"/>
        </w:rPr>
        <w:t>person approved by t</w:t>
      </w:r>
      <w:r w:rsidR="00EB039F" w:rsidRPr="00244C8A">
        <w:rPr>
          <w:rFonts w:ascii="Arial" w:eastAsia="Times New Roman" w:hAnsi="Arial" w:cs="Arial"/>
          <w:color w:val="192A67"/>
          <w:sz w:val="20"/>
          <w:szCs w:val="20"/>
          <w:lang w:val="en-US" w:eastAsia="en-AU"/>
        </w:rPr>
        <w:t>he Corporate Affairs Commission</w:t>
      </w:r>
    </w:p>
    <w:p w:rsidR="00EB039F" w:rsidRPr="00244C8A" w:rsidRDefault="00EB039F" w:rsidP="00EB039F">
      <w:pPr>
        <w:pStyle w:val="NoSpacing"/>
        <w:rPr>
          <w:rFonts w:ascii="Arial" w:eastAsia="Times New Roman" w:hAnsi="Arial" w:cs="Arial"/>
          <w:color w:val="192A67"/>
          <w:sz w:val="20"/>
          <w:szCs w:val="20"/>
          <w:lang w:val="en-US" w:eastAsia="en-AU"/>
        </w:rPr>
      </w:pPr>
    </w:p>
    <w:p w:rsidR="00801F1D" w:rsidRPr="00244C8A" w:rsidRDefault="00801F1D" w:rsidP="00EB039F">
      <w:pPr>
        <w:pStyle w:val="NoSpacing"/>
        <w:rPr>
          <w:rFonts w:ascii="Arial" w:eastAsia="Times New Roman" w:hAnsi="Arial" w:cs="Arial"/>
          <w:color w:val="192A67"/>
          <w:sz w:val="20"/>
          <w:szCs w:val="20"/>
          <w:lang w:val="en-US" w:eastAsia="en-AU"/>
        </w:rPr>
      </w:pPr>
      <w:r w:rsidRPr="00244C8A">
        <w:rPr>
          <w:rFonts w:ascii="Arial" w:eastAsia="Times New Roman" w:hAnsi="Arial" w:cs="Arial"/>
          <w:color w:val="192A67"/>
          <w:sz w:val="20"/>
          <w:szCs w:val="20"/>
          <w:lang w:val="en-US" w:eastAsia="en-AU"/>
        </w:rPr>
        <w:t>For C</w:t>
      </w:r>
      <w:r w:rsidR="00425515" w:rsidRPr="00244C8A">
        <w:rPr>
          <w:rFonts w:ascii="Arial" w:eastAsia="Times New Roman" w:hAnsi="Arial" w:cs="Arial"/>
          <w:color w:val="192A67"/>
          <w:sz w:val="20"/>
          <w:szCs w:val="20"/>
          <w:lang w:val="en-US" w:eastAsia="en-AU"/>
        </w:rPr>
        <w:t>onsumer and Business Services SA (CBS)</w:t>
      </w:r>
      <w:r w:rsidRPr="00244C8A">
        <w:rPr>
          <w:rFonts w:ascii="Arial" w:eastAsia="Times New Roman" w:hAnsi="Arial" w:cs="Arial"/>
          <w:color w:val="192A67"/>
          <w:sz w:val="20"/>
          <w:szCs w:val="20"/>
          <w:lang w:val="en-US" w:eastAsia="en-AU"/>
        </w:rPr>
        <w:t xml:space="preserve"> t</w:t>
      </w:r>
      <w:r w:rsidR="00EB039F" w:rsidRPr="00244C8A">
        <w:rPr>
          <w:rFonts w:ascii="Arial" w:eastAsia="Times New Roman" w:hAnsi="Arial" w:cs="Arial"/>
          <w:color w:val="192A67"/>
          <w:sz w:val="20"/>
          <w:szCs w:val="20"/>
          <w:lang w:val="en-US" w:eastAsia="en-AU"/>
        </w:rPr>
        <w:t>o consider an approval under d)</w:t>
      </w:r>
      <w:r w:rsidRPr="00244C8A">
        <w:rPr>
          <w:rFonts w:ascii="Arial" w:eastAsia="Times New Roman" w:hAnsi="Arial" w:cs="Arial"/>
          <w:color w:val="192A67"/>
          <w:sz w:val="20"/>
          <w:szCs w:val="20"/>
          <w:lang w:val="en-US" w:eastAsia="en-AU"/>
        </w:rPr>
        <w:t>, the association would be required to provide, in writing, an explanation of the special circumstances which prevent them from engaging someone qualified as specified in (a) to (c) above. In addition, the proposed auditor would need to have significant experience in auditing, in particular entities that have had gross revenue in excess of</w:t>
      </w:r>
      <w:r w:rsidR="00EB039F" w:rsidRPr="00244C8A">
        <w:rPr>
          <w:rFonts w:ascii="Arial" w:eastAsia="Times New Roman" w:hAnsi="Arial" w:cs="Arial"/>
          <w:color w:val="192A67"/>
          <w:sz w:val="20"/>
          <w:szCs w:val="20"/>
          <w:lang w:val="en-US" w:eastAsia="en-AU"/>
        </w:rPr>
        <w:t xml:space="preserve"> $500,000 in a financial year. </w:t>
      </w:r>
    </w:p>
    <w:p w:rsidR="00EB039F" w:rsidRPr="00244C8A" w:rsidRDefault="00EB039F" w:rsidP="009D01FD">
      <w:pPr>
        <w:rPr>
          <w:rStyle w:val="Emphasis"/>
          <w:rFonts w:ascii="Arial" w:hAnsi="Arial" w:cs="Arial"/>
          <w:b/>
          <w:i w:val="0"/>
          <w:color w:val="192A67"/>
          <w:sz w:val="20"/>
          <w:szCs w:val="20"/>
        </w:rPr>
      </w:pPr>
    </w:p>
    <w:p w:rsidR="00EB039F" w:rsidRPr="00244C8A" w:rsidRDefault="00EB039F" w:rsidP="00EB039F">
      <w:pPr>
        <w:rPr>
          <w:rStyle w:val="Emphasis"/>
          <w:rFonts w:ascii="Arial" w:hAnsi="Arial" w:cs="Arial"/>
          <w:b/>
          <w:i w:val="0"/>
          <w:color w:val="192A67"/>
          <w:sz w:val="20"/>
          <w:szCs w:val="20"/>
        </w:rPr>
      </w:pPr>
      <w:r w:rsidRPr="00244C8A">
        <w:rPr>
          <w:rStyle w:val="Emphasis"/>
          <w:rFonts w:ascii="Arial" w:hAnsi="Arial" w:cs="Arial"/>
          <w:b/>
          <w:i w:val="0"/>
          <w:color w:val="192A67"/>
          <w:sz w:val="20"/>
          <w:szCs w:val="20"/>
        </w:rPr>
        <w:t>Audit of Proprietary Company</w:t>
      </w:r>
    </w:p>
    <w:p w:rsidR="00EB039F" w:rsidRPr="00244C8A" w:rsidRDefault="00EB039F" w:rsidP="00EB039F">
      <w:pPr>
        <w:autoSpaceDE w:val="0"/>
        <w:autoSpaceDN w:val="0"/>
        <w:adjustRightInd w:val="0"/>
        <w:spacing w:after="0" w:line="240" w:lineRule="auto"/>
        <w:rPr>
          <w:rFonts w:ascii="Arial" w:hAnsi="Arial" w:cs="Arial"/>
          <w:color w:val="192A67"/>
          <w:sz w:val="20"/>
          <w:szCs w:val="20"/>
        </w:rPr>
      </w:pPr>
      <w:r w:rsidRPr="00244C8A">
        <w:rPr>
          <w:rFonts w:ascii="Arial" w:hAnsi="Arial" w:cs="Arial"/>
          <w:color w:val="192A67"/>
          <w:sz w:val="20"/>
          <w:szCs w:val="20"/>
        </w:rPr>
        <w:t xml:space="preserve">A large proprietary company is required to have its financial report audited (by a Registered Company Auditor), unless ASIC grants relief.  </w:t>
      </w:r>
      <w:r w:rsidRPr="00244C8A">
        <w:rPr>
          <w:rFonts w:ascii="Arial" w:eastAsia="Times New Roman" w:hAnsi="Arial" w:cs="Arial"/>
          <w:color w:val="192A67"/>
          <w:sz w:val="20"/>
          <w:szCs w:val="20"/>
          <w:lang w:eastAsia="en-AU"/>
        </w:rPr>
        <w:t xml:space="preserve">A proprietary is defined as large for a financial year if it satisfies at least two of the following paragraphs: </w:t>
      </w:r>
    </w:p>
    <w:p w:rsidR="00EB039F" w:rsidRPr="00244C8A" w:rsidRDefault="00EB039F" w:rsidP="00EB039F">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244C8A">
        <w:rPr>
          <w:rFonts w:ascii="Arial" w:eastAsia="Times New Roman" w:hAnsi="Arial" w:cs="Arial"/>
          <w:color w:val="192A67"/>
          <w:sz w:val="20"/>
          <w:szCs w:val="20"/>
          <w:lang w:eastAsia="en-AU"/>
        </w:rPr>
        <w:t>the consolidated revenue for the financial year of the company and any entities it controls is $25 million or more;</w:t>
      </w:r>
    </w:p>
    <w:p w:rsidR="00EB039F" w:rsidRPr="00244C8A" w:rsidRDefault="00EB039F" w:rsidP="00EB039F">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244C8A">
        <w:rPr>
          <w:rFonts w:ascii="Arial" w:eastAsia="Times New Roman" w:hAnsi="Arial" w:cs="Arial"/>
          <w:color w:val="192A67"/>
          <w:sz w:val="20"/>
          <w:szCs w:val="20"/>
          <w:lang w:eastAsia="en-AU"/>
        </w:rPr>
        <w:t xml:space="preserve">the value of the consolidated gross assets at the end of the financial year of the company and any entities it controls is $12.5 million or more; and </w:t>
      </w:r>
    </w:p>
    <w:p w:rsidR="00EB039F" w:rsidRPr="00244C8A" w:rsidRDefault="00EB039F" w:rsidP="00EB039F">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244C8A">
        <w:rPr>
          <w:rFonts w:ascii="Arial" w:eastAsia="Times New Roman" w:hAnsi="Arial" w:cs="Arial"/>
          <w:color w:val="192A67"/>
          <w:sz w:val="20"/>
          <w:szCs w:val="20"/>
          <w:lang w:eastAsia="en-AU"/>
        </w:rPr>
        <w:t>the company and any entities it controls have more than 50 employees at the end of the financial year.</w:t>
      </w:r>
    </w:p>
    <w:p w:rsidR="00EB039F" w:rsidRPr="00244C8A" w:rsidRDefault="00EB039F" w:rsidP="00EB039F">
      <w:pPr>
        <w:spacing w:before="100" w:beforeAutospacing="1" w:after="100" w:afterAutospacing="1" w:line="240" w:lineRule="auto"/>
        <w:rPr>
          <w:rFonts w:ascii="Arial" w:hAnsi="Arial" w:cs="Arial"/>
          <w:color w:val="192A67"/>
          <w:sz w:val="20"/>
          <w:szCs w:val="20"/>
        </w:rPr>
      </w:pPr>
      <w:r w:rsidRPr="00244C8A">
        <w:rPr>
          <w:rFonts w:ascii="Arial" w:eastAsia="Times New Roman" w:hAnsi="Arial" w:cs="Arial"/>
          <w:color w:val="192A67"/>
          <w:sz w:val="20"/>
          <w:szCs w:val="20"/>
          <w:lang w:eastAsia="en-AU"/>
        </w:rPr>
        <w:t xml:space="preserve">Otherwise the company is classified as a small proprietary company and is not required to prepare a financial report and consequently, an audit is not required.  However, if the small company is foreign controlled company (and an exemption is not obtained) or </w:t>
      </w:r>
      <w:r w:rsidRPr="00244C8A">
        <w:rPr>
          <w:rFonts w:ascii="Arial" w:hAnsi="Arial" w:cs="Arial"/>
          <w:color w:val="192A67"/>
          <w:sz w:val="20"/>
          <w:szCs w:val="20"/>
        </w:rPr>
        <w:t>if ASIC or shareholders representing at least 5% of the voting shares deem it necessary, the company must follow the requirement to prepare a financial report and have it audited.</w:t>
      </w:r>
    </w:p>
    <w:p w:rsidR="00EB039F" w:rsidRPr="00244C8A" w:rsidRDefault="00EB039F" w:rsidP="00EB039F">
      <w:pPr>
        <w:rPr>
          <w:rFonts w:ascii="Arial" w:eastAsia="Times New Roman" w:hAnsi="Arial" w:cs="Arial"/>
          <w:b/>
          <w:color w:val="192A67"/>
          <w:sz w:val="20"/>
          <w:szCs w:val="20"/>
          <w:lang w:eastAsia="en-AU"/>
        </w:rPr>
      </w:pPr>
      <w:r w:rsidRPr="00244C8A">
        <w:rPr>
          <w:rFonts w:ascii="Arial" w:eastAsia="Times New Roman" w:hAnsi="Arial" w:cs="Arial"/>
          <w:b/>
          <w:color w:val="192A67"/>
          <w:sz w:val="20"/>
          <w:szCs w:val="20"/>
          <w:lang w:eastAsia="en-AU"/>
        </w:rPr>
        <w:t>Audit of Companies Limited By Guarantee</w:t>
      </w:r>
    </w:p>
    <w:p w:rsidR="00EB039F" w:rsidRPr="00244C8A" w:rsidRDefault="00EB039F" w:rsidP="00EB039F">
      <w:pPr>
        <w:autoSpaceDE w:val="0"/>
        <w:autoSpaceDN w:val="0"/>
        <w:adjustRightInd w:val="0"/>
        <w:spacing w:after="0" w:line="240" w:lineRule="auto"/>
        <w:rPr>
          <w:rFonts w:ascii="Arial" w:hAnsi="Arial" w:cs="Arial"/>
          <w:color w:val="192A67"/>
          <w:sz w:val="20"/>
          <w:szCs w:val="20"/>
        </w:rPr>
      </w:pPr>
      <w:r w:rsidRPr="00244C8A">
        <w:rPr>
          <w:rFonts w:ascii="Arial" w:hAnsi="Arial" w:cs="Arial"/>
          <w:color w:val="192A67"/>
          <w:sz w:val="20"/>
          <w:szCs w:val="20"/>
        </w:rPr>
        <w:t xml:space="preserve">Prior to the commencement of the </w:t>
      </w:r>
      <w:r w:rsidRPr="00244C8A">
        <w:rPr>
          <w:rFonts w:ascii="Arial" w:hAnsi="Arial" w:cs="Arial"/>
          <w:i/>
          <w:iCs/>
          <w:color w:val="192A67"/>
          <w:sz w:val="20"/>
          <w:szCs w:val="20"/>
        </w:rPr>
        <w:t xml:space="preserve">Corporations Amendment (Corporate Reporting Reform) Act 2010, </w:t>
      </w:r>
      <w:r w:rsidRPr="00244C8A">
        <w:rPr>
          <w:rFonts w:ascii="Arial" w:hAnsi="Arial" w:cs="Arial"/>
          <w:color w:val="192A67"/>
          <w:sz w:val="20"/>
          <w:szCs w:val="20"/>
        </w:rPr>
        <w:t>all companies limited by guarantee had to prepare a financial report which required an audit, because they were classified as public companies.</w:t>
      </w:r>
    </w:p>
    <w:p w:rsidR="00EB039F" w:rsidRPr="00244C8A" w:rsidRDefault="00EB039F" w:rsidP="00EB039F">
      <w:pPr>
        <w:autoSpaceDE w:val="0"/>
        <w:autoSpaceDN w:val="0"/>
        <w:adjustRightInd w:val="0"/>
        <w:spacing w:after="0" w:line="240" w:lineRule="auto"/>
        <w:rPr>
          <w:rFonts w:ascii="Arial" w:hAnsi="Arial" w:cs="Arial"/>
          <w:color w:val="192A67"/>
          <w:sz w:val="20"/>
          <w:szCs w:val="20"/>
        </w:rPr>
      </w:pPr>
    </w:p>
    <w:p w:rsidR="00EB039F" w:rsidRPr="00244C8A" w:rsidRDefault="00EB039F" w:rsidP="00EB039F">
      <w:pPr>
        <w:autoSpaceDE w:val="0"/>
        <w:autoSpaceDN w:val="0"/>
        <w:adjustRightInd w:val="0"/>
        <w:spacing w:after="0" w:line="240" w:lineRule="auto"/>
        <w:rPr>
          <w:rFonts w:ascii="Arial" w:hAnsi="Arial" w:cs="Arial"/>
          <w:color w:val="192A67"/>
          <w:sz w:val="20"/>
          <w:szCs w:val="20"/>
        </w:rPr>
      </w:pPr>
      <w:r w:rsidRPr="00244C8A">
        <w:rPr>
          <w:rFonts w:ascii="Arial" w:hAnsi="Arial" w:cs="Arial"/>
          <w:color w:val="192A67"/>
          <w:sz w:val="20"/>
          <w:szCs w:val="20"/>
        </w:rPr>
        <w:t>A three-tier differential reporting framework for companies limited by guarantee has been established.</w:t>
      </w:r>
    </w:p>
    <w:p w:rsidR="00EB039F" w:rsidRPr="00244C8A" w:rsidRDefault="00EB039F" w:rsidP="00EB039F">
      <w:pPr>
        <w:autoSpaceDE w:val="0"/>
        <w:autoSpaceDN w:val="0"/>
        <w:adjustRightInd w:val="0"/>
        <w:spacing w:after="0" w:line="240" w:lineRule="auto"/>
        <w:rPr>
          <w:rFonts w:ascii="Arial" w:hAnsi="Arial" w:cs="Arial"/>
          <w:color w:val="192A67"/>
          <w:sz w:val="20"/>
          <w:szCs w:val="20"/>
        </w:rPr>
      </w:pPr>
    </w:p>
    <w:p w:rsidR="00EB039F" w:rsidRPr="00244C8A" w:rsidRDefault="00EB039F" w:rsidP="00EB039F">
      <w:pPr>
        <w:pStyle w:val="ListParagraph"/>
        <w:numPr>
          <w:ilvl w:val="0"/>
          <w:numId w:val="12"/>
        </w:numPr>
        <w:autoSpaceDE w:val="0"/>
        <w:autoSpaceDN w:val="0"/>
        <w:adjustRightInd w:val="0"/>
        <w:spacing w:after="0" w:line="240" w:lineRule="auto"/>
        <w:rPr>
          <w:rFonts w:ascii="Arial" w:hAnsi="Arial" w:cs="Arial"/>
          <w:color w:val="192A67"/>
          <w:sz w:val="20"/>
          <w:szCs w:val="20"/>
        </w:rPr>
      </w:pPr>
      <w:r w:rsidRPr="00244C8A">
        <w:rPr>
          <w:rFonts w:ascii="Arial" w:hAnsi="Arial" w:cs="Arial"/>
          <w:color w:val="192A67"/>
          <w:sz w:val="20"/>
          <w:szCs w:val="20"/>
        </w:rPr>
        <w:t xml:space="preserve">Tier 1 (annual revenue less than $250,000 and does not have deductible gift recipient status) - has no obligation to prepare a financial report or have its financial report audited, unless required to do so under its constitution or a member or ASIC direction; </w:t>
      </w:r>
    </w:p>
    <w:p w:rsidR="00EB039F" w:rsidRPr="00244C8A" w:rsidRDefault="00EB039F" w:rsidP="00EB039F">
      <w:pPr>
        <w:pStyle w:val="ListParagraph"/>
        <w:numPr>
          <w:ilvl w:val="0"/>
          <w:numId w:val="12"/>
        </w:numPr>
        <w:autoSpaceDE w:val="0"/>
        <w:autoSpaceDN w:val="0"/>
        <w:adjustRightInd w:val="0"/>
        <w:spacing w:after="0" w:line="240" w:lineRule="auto"/>
        <w:rPr>
          <w:rFonts w:ascii="Arial" w:hAnsi="Arial" w:cs="Arial"/>
          <w:color w:val="192A67"/>
          <w:sz w:val="20"/>
          <w:szCs w:val="20"/>
        </w:rPr>
      </w:pPr>
      <w:r w:rsidRPr="00244C8A">
        <w:rPr>
          <w:rFonts w:ascii="Arial" w:hAnsi="Arial" w:cs="Arial"/>
          <w:color w:val="192A67"/>
          <w:sz w:val="20"/>
          <w:szCs w:val="20"/>
        </w:rPr>
        <w:lastRenderedPageBreak/>
        <w:t xml:space="preserve">Tier 2 (annual revenue is $250,000 or more but less than $1 million or that have deductible gift recipient status) - must prepare a financial report which they could elect to be reviewed rather than audited; </w:t>
      </w:r>
    </w:p>
    <w:p w:rsidR="00EB039F" w:rsidRPr="00244C8A" w:rsidRDefault="00EB039F" w:rsidP="00EB039F">
      <w:pPr>
        <w:pStyle w:val="ListParagraph"/>
        <w:numPr>
          <w:ilvl w:val="0"/>
          <w:numId w:val="12"/>
        </w:numPr>
        <w:autoSpaceDE w:val="0"/>
        <w:autoSpaceDN w:val="0"/>
        <w:adjustRightInd w:val="0"/>
        <w:spacing w:after="0" w:line="240" w:lineRule="auto"/>
        <w:rPr>
          <w:rFonts w:ascii="Arial" w:hAnsi="Arial" w:cs="Arial"/>
          <w:color w:val="192A67"/>
          <w:sz w:val="20"/>
          <w:szCs w:val="20"/>
        </w:rPr>
      </w:pPr>
      <w:r w:rsidRPr="00244C8A">
        <w:rPr>
          <w:rFonts w:ascii="Arial" w:hAnsi="Arial" w:cs="Arial"/>
          <w:color w:val="192A67"/>
          <w:sz w:val="20"/>
          <w:szCs w:val="20"/>
        </w:rPr>
        <w:t>Tier 3 (annual revenue is more than $1 million) - must prepare a financial report and have it audited.</w:t>
      </w:r>
    </w:p>
    <w:p w:rsidR="00EB039F" w:rsidRPr="00244C8A" w:rsidRDefault="00EB039F" w:rsidP="00EB039F">
      <w:pPr>
        <w:spacing w:before="100" w:beforeAutospacing="1" w:after="100" w:afterAutospacing="1" w:line="240" w:lineRule="auto"/>
        <w:rPr>
          <w:rFonts w:ascii="Arial" w:hAnsi="Arial" w:cs="Arial"/>
          <w:color w:val="192A67"/>
          <w:sz w:val="20"/>
          <w:szCs w:val="20"/>
        </w:rPr>
      </w:pPr>
      <w:r w:rsidRPr="00244C8A">
        <w:rPr>
          <w:rFonts w:ascii="Arial" w:hAnsi="Arial" w:cs="Arial"/>
          <w:color w:val="192A67"/>
          <w:sz w:val="20"/>
          <w:szCs w:val="20"/>
        </w:rPr>
        <w:t>Members of the IPA in public practice can undertake the review of Tier 1 (where required) or Tier 2 Company Limited by Guarantee.</w:t>
      </w:r>
    </w:p>
    <w:p w:rsidR="00EB039F" w:rsidRPr="00244C8A" w:rsidRDefault="00EB039F" w:rsidP="00EB039F">
      <w:pPr>
        <w:spacing w:before="100" w:beforeAutospacing="1" w:after="100" w:afterAutospacing="1" w:line="240" w:lineRule="auto"/>
        <w:rPr>
          <w:rFonts w:ascii="Arial" w:hAnsi="Arial" w:cs="Arial"/>
          <w:color w:val="192A67"/>
          <w:sz w:val="20"/>
          <w:szCs w:val="20"/>
        </w:rPr>
      </w:pPr>
      <w:r w:rsidRPr="00244C8A">
        <w:rPr>
          <w:rFonts w:ascii="Arial" w:hAnsi="Arial" w:cs="Arial"/>
          <w:b/>
          <w:color w:val="192A67"/>
          <w:sz w:val="20"/>
          <w:szCs w:val="20"/>
        </w:rPr>
        <w:t>Audit of Charities (other than Companies Limited by Guarantee)</w:t>
      </w:r>
    </w:p>
    <w:p w:rsidR="00EB039F" w:rsidRPr="00244C8A" w:rsidRDefault="00EB039F" w:rsidP="00EB039F">
      <w:pPr>
        <w:spacing w:before="100" w:beforeAutospacing="1" w:after="100" w:afterAutospacing="1" w:line="240" w:lineRule="auto"/>
        <w:rPr>
          <w:rFonts w:ascii="Arial" w:hAnsi="Arial" w:cs="Arial"/>
          <w:color w:val="192A67"/>
          <w:sz w:val="20"/>
          <w:szCs w:val="20"/>
        </w:rPr>
      </w:pPr>
      <w:r w:rsidRPr="00244C8A">
        <w:rPr>
          <w:rFonts w:ascii="Arial" w:hAnsi="Arial" w:cs="Arial"/>
          <w:color w:val="192A67"/>
          <w:sz w:val="20"/>
          <w:szCs w:val="20"/>
        </w:rPr>
        <w:t>Charities are now regulated by the Australian Charities and Not-for-Profit Commission (ACNC).  Under the Australian Charities and Not-for-profits Commission Act 2012 (</w:t>
      </w:r>
      <w:proofErr w:type="spellStart"/>
      <w:r w:rsidRPr="00244C8A">
        <w:rPr>
          <w:rFonts w:ascii="Arial" w:hAnsi="Arial" w:cs="Arial"/>
          <w:color w:val="192A67"/>
          <w:sz w:val="20"/>
          <w:szCs w:val="20"/>
        </w:rPr>
        <w:t>Cth</w:t>
      </w:r>
      <w:proofErr w:type="spellEnd"/>
      <w:r w:rsidRPr="00244C8A">
        <w:rPr>
          <w:rFonts w:ascii="Arial" w:hAnsi="Arial" w:cs="Arial"/>
          <w:color w:val="192A67"/>
          <w:sz w:val="20"/>
          <w:szCs w:val="20"/>
        </w:rPr>
        <w:t>) (The ACNC Act) charities reporting requirements are dependent on their classification as either small, medium or large charities.</w:t>
      </w:r>
    </w:p>
    <w:p w:rsidR="00EB039F" w:rsidRPr="00244C8A" w:rsidRDefault="00EB039F" w:rsidP="00EB039F">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244C8A">
        <w:rPr>
          <w:rFonts w:ascii="Arial" w:eastAsia="Times New Roman" w:hAnsi="Arial" w:cs="Arial"/>
          <w:b/>
          <w:bCs/>
          <w:color w:val="192A67"/>
          <w:sz w:val="20"/>
          <w:szCs w:val="20"/>
          <w:lang w:eastAsia="en-AU"/>
        </w:rPr>
        <w:t>Small charities</w:t>
      </w:r>
      <w:r w:rsidRPr="00244C8A">
        <w:rPr>
          <w:rFonts w:ascii="Arial" w:eastAsia="Times New Roman" w:hAnsi="Arial" w:cs="Arial"/>
          <w:color w:val="192A67"/>
          <w:sz w:val="20"/>
          <w:szCs w:val="20"/>
          <w:lang w:eastAsia="en-AU"/>
        </w:rPr>
        <w:t xml:space="preserve"> (</w:t>
      </w:r>
      <w:r w:rsidRPr="00244C8A">
        <w:rPr>
          <w:rFonts w:ascii="Arial" w:hAnsi="Arial" w:cs="Arial"/>
          <w:color w:val="192A67"/>
          <w:sz w:val="20"/>
          <w:szCs w:val="20"/>
        </w:rPr>
        <w:t xml:space="preserve">annual revenue is less than $250 000) </w:t>
      </w:r>
      <w:r w:rsidRPr="00244C8A">
        <w:rPr>
          <w:rFonts w:ascii="Arial" w:eastAsia="Times New Roman" w:hAnsi="Arial" w:cs="Arial"/>
          <w:color w:val="192A67"/>
          <w:sz w:val="20"/>
          <w:szCs w:val="20"/>
          <w:lang w:eastAsia="en-AU"/>
        </w:rPr>
        <w:t>- need to submit an Annual Information Statement (AIS).</w:t>
      </w:r>
      <w:r w:rsidRPr="00244C8A">
        <w:rPr>
          <w:rFonts w:ascii="Arial" w:hAnsi="Arial" w:cs="Arial"/>
          <w:color w:val="192A67"/>
          <w:sz w:val="20"/>
          <w:szCs w:val="20"/>
        </w:rPr>
        <w:t xml:space="preserve">  From 2015 onwards the Annual Information Statement will include basic financial questions</w:t>
      </w:r>
      <w:r w:rsidRPr="00244C8A">
        <w:rPr>
          <w:rFonts w:ascii="Arial" w:eastAsia="Times New Roman" w:hAnsi="Arial" w:cs="Arial"/>
          <w:color w:val="192A67"/>
          <w:sz w:val="20"/>
          <w:szCs w:val="20"/>
          <w:lang w:eastAsia="en-AU"/>
        </w:rPr>
        <w:t xml:space="preserve">. </w:t>
      </w:r>
    </w:p>
    <w:p w:rsidR="00EB039F" w:rsidRPr="00244C8A" w:rsidRDefault="00EB039F" w:rsidP="00EB039F">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244C8A">
        <w:rPr>
          <w:rFonts w:ascii="Arial" w:eastAsia="Times New Roman" w:hAnsi="Arial" w:cs="Arial"/>
          <w:b/>
          <w:bCs/>
          <w:color w:val="192A67"/>
          <w:sz w:val="20"/>
          <w:szCs w:val="20"/>
          <w:lang w:eastAsia="en-AU"/>
        </w:rPr>
        <w:t>Medium charities</w:t>
      </w:r>
      <w:r w:rsidRPr="00244C8A">
        <w:rPr>
          <w:rFonts w:ascii="Arial" w:eastAsia="Times New Roman" w:hAnsi="Arial" w:cs="Arial"/>
          <w:color w:val="192A67"/>
          <w:sz w:val="20"/>
          <w:szCs w:val="20"/>
          <w:lang w:eastAsia="en-AU"/>
        </w:rPr>
        <w:t xml:space="preserve"> (</w:t>
      </w:r>
      <w:r w:rsidRPr="00244C8A">
        <w:rPr>
          <w:rFonts w:ascii="Arial" w:hAnsi="Arial" w:cs="Arial"/>
          <w:color w:val="192A67"/>
          <w:sz w:val="20"/>
          <w:szCs w:val="20"/>
        </w:rPr>
        <w:t xml:space="preserve">annual revenue is $250 000 or more but less than $1 million) </w:t>
      </w:r>
      <w:r w:rsidRPr="00244C8A">
        <w:rPr>
          <w:rFonts w:ascii="Arial" w:eastAsia="Times New Roman" w:hAnsi="Arial" w:cs="Arial"/>
          <w:color w:val="192A67"/>
          <w:sz w:val="20"/>
          <w:szCs w:val="20"/>
          <w:lang w:eastAsia="en-AU"/>
        </w:rPr>
        <w:t xml:space="preserve">- must submit an AIS and an annual financial report that is reviewed or audited. </w:t>
      </w:r>
    </w:p>
    <w:p w:rsidR="00EB039F" w:rsidRPr="00244C8A" w:rsidRDefault="00EB039F" w:rsidP="00EB039F">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244C8A">
        <w:rPr>
          <w:rFonts w:ascii="Arial" w:eastAsia="Times New Roman" w:hAnsi="Arial" w:cs="Arial"/>
          <w:b/>
          <w:bCs/>
          <w:color w:val="192A67"/>
          <w:sz w:val="20"/>
          <w:szCs w:val="20"/>
          <w:lang w:eastAsia="en-AU"/>
        </w:rPr>
        <w:t>Large charities (</w:t>
      </w:r>
      <w:r w:rsidRPr="00244C8A">
        <w:rPr>
          <w:rFonts w:ascii="Arial" w:hAnsi="Arial" w:cs="Arial"/>
          <w:color w:val="192A67"/>
          <w:sz w:val="20"/>
          <w:szCs w:val="20"/>
        </w:rPr>
        <w:t xml:space="preserve">annual revenue is more than $1 Million) - </w:t>
      </w:r>
      <w:r w:rsidRPr="00244C8A">
        <w:rPr>
          <w:rFonts w:ascii="Arial" w:eastAsia="Times New Roman" w:hAnsi="Arial" w:cs="Arial"/>
          <w:color w:val="192A67"/>
          <w:sz w:val="20"/>
          <w:szCs w:val="20"/>
          <w:lang w:eastAsia="en-AU"/>
        </w:rPr>
        <w:t>must submit an AIS and an annual financial report that is audited .</w:t>
      </w:r>
    </w:p>
    <w:p w:rsidR="00EB039F" w:rsidRPr="00244C8A" w:rsidRDefault="00EB039F" w:rsidP="00EB039F">
      <w:pPr>
        <w:shd w:val="clear" w:color="auto" w:fill="FFFFFF"/>
        <w:spacing w:before="100" w:beforeAutospacing="1" w:after="192" w:line="332" w:lineRule="atLeast"/>
        <w:ind w:right="240"/>
        <w:textAlignment w:val="top"/>
        <w:rPr>
          <w:rFonts w:ascii="Arial" w:eastAsia="Times New Roman" w:hAnsi="Arial" w:cs="Arial"/>
          <w:color w:val="192A67"/>
          <w:sz w:val="20"/>
          <w:szCs w:val="20"/>
          <w:lang w:eastAsia="en-AU"/>
        </w:rPr>
      </w:pPr>
      <w:r w:rsidRPr="00244C8A">
        <w:rPr>
          <w:rFonts w:ascii="Arial" w:eastAsia="Times New Roman" w:hAnsi="Arial" w:cs="Arial"/>
          <w:color w:val="192A67"/>
          <w:sz w:val="20"/>
          <w:szCs w:val="20"/>
          <w:lang w:eastAsia="en-AU"/>
        </w:rPr>
        <w:t>Therefore, small charities do not need to be audited unless their constitutions require an audit. Medium charities can elect to have a review instead of an audit and this review can be by a member of IPA, CPA or CAANZ in practice.  Joint Accounting Bodies have released a guide to assist those undertaking reviews. Large charities have to have an audit and this must be by a Registered Company Auditor.</w:t>
      </w:r>
    </w:p>
    <w:p w:rsidR="00EB039F" w:rsidRPr="00244C8A" w:rsidRDefault="00EB039F" w:rsidP="00EB039F">
      <w:pPr>
        <w:shd w:val="clear" w:color="auto" w:fill="FFFFFF"/>
        <w:spacing w:before="100" w:beforeAutospacing="1" w:after="192" w:line="332" w:lineRule="atLeast"/>
        <w:ind w:right="240"/>
        <w:textAlignment w:val="top"/>
        <w:rPr>
          <w:rFonts w:ascii="Arial" w:eastAsia="Times New Roman" w:hAnsi="Arial" w:cs="Arial"/>
          <w:b/>
          <w:color w:val="192A67"/>
          <w:sz w:val="20"/>
          <w:szCs w:val="20"/>
          <w:lang w:eastAsia="en-AU"/>
        </w:rPr>
      </w:pPr>
      <w:r w:rsidRPr="00244C8A">
        <w:rPr>
          <w:rFonts w:ascii="Arial" w:eastAsia="Times New Roman" w:hAnsi="Arial" w:cs="Arial"/>
          <w:b/>
          <w:color w:val="192A67"/>
          <w:sz w:val="20"/>
          <w:szCs w:val="20"/>
          <w:lang w:eastAsia="en-AU"/>
        </w:rPr>
        <w:t>Co-operatives - SA</w:t>
      </w:r>
    </w:p>
    <w:p w:rsidR="00450AFD" w:rsidRPr="00244C8A" w:rsidRDefault="00EF6A8B" w:rsidP="00EF6A8B">
      <w:pPr>
        <w:pStyle w:val="NoSpacing"/>
        <w:rPr>
          <w:rFonts w:ascii="Arial" w:hAnsi="Arial" w:cs="Arial"/>
          <w:color w:val="192A67"/>
          <w:sz w:val="20"/>
          <w:szCs w:val="20"/>
          <w:lang w:val="en" w:eastAsia="en-AU"/>
        </w:rPr>
      </w:pPr>
      <w:r w:rsidRPr="00244C8A">
        <w:rPr>
          <w:rFonts w:ascii="Arial" w:hAnsi="Arial" w:cs="Arial"/>
          <w:color w:val="192A67"/>
          <w:sz w:val="20"/>
          <w:szCs w:val="20"/>
          <w:lang w:val="en"/>
        </w:rPr>
        <w:t xml:space="preserve">South Australia is now part of a national legislative scheme regulating the formation, registration and management of co-operatives.  </w:t>
      </w:r>
      <w:r w:rsidR="00450AFD" w:rsidRPr="00244C8A">
        <w:rPr>
          <w:rFonts w:ascii="Arial" w:hAnsi="Arial" w:cs="Arial"/>
          <w:color w:val="192A67"/>
          <w:sz w:val="20"/>
          <w:szCs w:val="20"/>
          <w:lang w:val="en" w:eastAsia="en-AU"/>
        </w:rPr>
        <w:t xml:space="preserve">Co-operatives are regulated and supervised by the South Australian Consumer and Business Services under the </w:t>
      </w:r>
      <w:r w:rsidRPr="00244C8A">
        <w:rPr>
          <w:rFonts w:ascii="Arial" w:hAnsi="Arial" w:cs="Arial"/>
          <w:i/>
          <w:color w:val="192A67"/>
          <w:sz w:val="20"/>
          <w:szCs w:val="20"/>
          <w:lang w:val="en" w:eastAsia="en-AU"/>
        </w:rPr>
        <w:t>Co-operatives National Law (South Australia)</w:t>
      </w:r>
      <w:r w:rsidRPr="00244C8A">
        <w:rPr>
          <w:rFonts w:ascii="Arial" w:hAnsi="Arial" w:cs="Arial"/>
          <w:color w:val="192A67"/>
          <w:sz w:val="20"/>
          <w:szCs w:val="20"/>
          <w:lang w:val="en" w:eastAsia="en-AU"/>
        </w:rPr>
        <w:t xml:space="preserve"> </w:t>
      </w:r>
      <w:r w:rsidRPr="00244C8A">
        <w:rPr>
          <w:rFonts w:ascii="Arial" w:hAnsi="Arial" w:cs="Arial"/>
          <w:i/>
          <w:color w:val="192A67"/>
          <w:sz w:val="20"/>
          <w:szCs w:val="20"/>
          <w:lang w:val="en" w:eastAsia="en-AU"/>
        </w:rPr>
        <w:t>Act 2013</w:t>
      </w:r>
      <w:r w:rsidRPr="00244C8A">
        <w:rPr>
          <w:rFonts w:ascii="Arial" w:hAnsi="Arial" w:cs="Arial"/>
          <w:color w:val="192A67"/>
          <w:sz w:val="20"/>
          <w:szCs w:val="20"/>
          <w:lang w:val="en" w:eastAsia="en-AU"/>
        </w:rPr>
        <w:t xml:space="preserve"> (the Act).</w:t>
      </w:r>
      <w:r w:rsidR="00A91420" w:rsidRPr="00244C8A">
        <w:rPr>
          <w:rFonts w:ascii="Arial" w:hAnsi="Arial" w:cs="Arial"/>
          <w:color w:val="192A67"/>
          <w:sz w:val="20"/>
          <w:szCs w:val="20"/>
          <w:lang w:val="en" w:eastAsia="en-AU"/>
        </w:rPr>
        <w:t xml:space="preserve">  </w:t>
      </w:r>
      <w:r w:rsidR="00A91420" w:rsidRPr="00244C8A">
        <w:rPr>
          <w:rFonts w:ascii="Arial" w:hAnsi="Arial" w:cs="Arial"/>
          <w:color w:val="192A67"/>
          <w:sz w:val="20"/>
          <w:szCs w:val="20"/>
          <w:lang w:val="en-US"/>
        </w:rPr>
        <w:t>The Co-operatives National Regulations made in New South Wales will apply automatically in South Australia.</w:t>
      </w:r>
    </w:p>
    <w:p w:rsidR="00450AFD" w:rsidRPr="00244C8A" w:rsidRDefault="00450AFD" w:rsidP="00450AFD">
      <w:pPr>
        <w:pStyle w:val="NoSpacing"/>
        <w:rPr>
          <w:rFonts w:ascii="Arial" w:hAnsi="Arial" w:cs="Arial"/>
          <w:color w:val="192A67"/>
          <w:sz w:val="20"/>
          <w:szCs w:val="20"/>
          <w:lang w:val="en" w:eastAsia="en-AU"/>
        </w:rPr>
      </w:pPr>
    </w:p>
    <w:p w:rsidR="00450AFD" w:rsidRPr="00244C8A" w:rsidRDefault="00450AFD" w:rsidP="00450AFD">
      <w:pPr>
        <w:pStyle w:val="NoSpacing"/>
        <w:rPr>
          <w:rFonts w:ascii="Arial" w:hAnsi="Arial" w:cs="Arial"/>
          <w:color w:val="192A67"/>
          <w:sz w:val="20"/>
          <w:szCs w:val="20"/>
          <w:lang w:val="en" w:eastAsia="en-AU"/>
        </w:rPr>
      </w:pPr>
      <w:r w:rsidRPr="00244C8A">
        <w:rPr>
          <w:rFonts w:ascii="Arial" w:hAnsi="Arial" w:cs="Arial"/>
          <w:color w:val="192A67"/>
          <w:sz w:val="20"/>
          <w:szCs w:val="20"/>
          <w:lang w:val="en" w:eastAsia="en-AU"/>
        </w:rPr>
        <w:t>Co-operatives financial reporting requirements are dependent on their size as either small co-operatives or large co-operatives:</w:t>
      </w:r>
    </w:p>
    <w:p w:rsidR="00450AFD" w:rsidRPr="00244C8A" w:rsidRDefault="00450AFD" w:rsidP="00450AFD">
      <w:pPr>
        <w:pStyle w:val="NoSpacing"/>
        <w:rPr>
          <w:rFonts w:ascii="Arial" w:hAnsi="Arial" w:cs="Arial"/>
          <w:color w:val="192A67"/>
          <w:sz w:val="20"/>
          <w:szCs w:val="20"/>
          <w:lang w:val="en" w:eastAsia="en-AU"/>
        </w:rPr>
      </w:pPr>
    </w:p>
    <w:p w:rsidR="00450AFD" w:rsidRPr="00244C8A" w:rsidRDefault="00450AFD" w:rsidP="00450AFD">
      <w:pPr>
        <w:pStyle w:val="NoSpacing"/>
        <w:numPr>
          <w:ilvl w:val="0"/>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Small co-operatives – a co-operative is classified as a small co-operative for a financial year if it does not issue shares to more than 20 prospective members exceeding $2 million or securities to the public and it satisfies at least two of the following criteria:</w:t>
      </w:r>
    </w:p>
    <w:p w:rsidR="00450AFD" w:rsidRPr="00244C8A" w:rsidRDefault="00450AFD" w:rsidP="00450AFD">
      <w:pPr>
        <w:pStyle w:val="NoSpacing"/>
        <w:numPr>
          <w:ilvl w:val="1"/>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 xml:space="preserve">consolidated revenue is less than $8 million; </w:t>
      </w:r>
    </w:p>
    <w:p w:rsidR="00450AFD" w:rsidRPr="00244C8A" w:rsidRDefault="00450AFD" w:rsidP="00450AFD">
      <w:pPr>
        <w:pStyle w:val="NoSpacing"/>
        <w:numPr>
          <w:ilvl w:val="1"/>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 xml:space="preserve">consolidated gross assets are less than $4 million; </w:t>
      </w:r>
    </w:p>
    <w:p w:rsidR="00450AFD" w:rsidRPr="00244C8A" w:rsidRDefault="00450AFD" w:rsidP="00450AFD">
      <w:pPr>
        <w:pStyle w:val="NoSpacing"/>
        <w:numPr>
          <w:ilvl w:val="1"/>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has fewer than 30 employees.</w:t>
      </w:r>
    </w:p>
    <w:p w:rsidR="00450AFD" w:rsidRPr="00244C8A" w:rsidRDefault="00450AFD" w:rsidP="00450AFD">
      <w:pPr>
        <w:pStyle w:val="NoSpacing"/>
        <w:rPr>
          <w:rFonts w:ascii="Arial" w:hAnsi="Arial" w:cs="Arial"/>
          <w:color w:val="192A67"/>
          <w:sz w:val="20"/>
          <w:szCs w:val="20"/>
          <w:lang w:val="en" w:eastAsia="en-AU"/>
        </w:rPr>
      </w:pPr>
    </w:p>
    <w:p w:rsidR="00450AFD" w:rsidRPr="00244C8A" w:rsidRDefault="00450AFD" w:rsidP="00450AFD">
      <w:pPr>
        <w:pStyle w:val="NoSpacing"/>
        <w:numPr>
          <w:ilvl w:val="0"/>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 xml:space="preserve">Large co-operatives – a large co-operative must satisfy two of the following criteria in a financial year: </w:t>
      </w:r>
    </w:p>
    <w:p w:rsidR="00450AFD" w:rsidRPr="00244C8A" w:rsidRDefault="00450AFD" w:rsidP="00450AFD">
      <w:pPr>
        <w:pStyle w:val="NoSpacing"/>
        <w:numPr>
          <w:ilvl w:val="1"/>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consolidated revenue of $8 million or more;</w:t>
      </w:r>
    </w:p>
    <w:p w:rsidR="00450AFD" w:rsidRPr="00244C8A" w:rsidRDefault="00450AFD" w:rsidP="00450AFD">
      <w:pPr>
        <w:pStyle w:val="NoSpacing"/>
        <w:numPr>
          <w:ilvl w:val="1"/>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lastRenderedPageBreak/>
        <w:t xml:space="preserve">consolidated gross assets of $4 million or more; </w:t>
      </w:r>
    </w:p>
    <w:p w:rsidR="00450AFD" w:rsidRPr="00244C8A" w:rsidRDefault="00450AFD" w:rsidP="00450AFD">
      <w:pPr>
        <w:pStyle w:val="NoSpacing"/>
        <w:numPr>
          <w:ilvl w:val="1"/>
          <w:numId w:val="16"/>
        </w:numPr>
        <w:rPr>
          <w:rFonts w:ascii="Arial" w:hAnsi="Arial" w:cs="Arial"/>
          <w:color w:val="192A67"/>
          <w:sz w:val="20"/>
          <w:szCs w:val="20"/>
          <w:lang w:val="en" w:eastAsia="en-AU"/>
        </w:rPr>
      </w:pPr>
      <w:r w:rsidRPr="00244C8A">
        <w:rPr>
          <w:rFonts w:ascii="Arial" w:hAnsi="Arial" w:cs="Arial"/>
          <w:color w:val="192A67"/>
          <w:sz w:val="20"/>
          <w:szCs w:val="20"/>
          <w:lang w:val="en" w:eastAsia="en-AU"/>
        </w:rPr>
        <w:t>has 30 or more employees.</w:t>
      </w:r>
    </w:p>
    <w:p w:rsidR="00450AFD" w:rsidRPr="00244C8A" w:rsidRDefault="00450AFD" w:rsidP="00450AFD">
      <w:pPr>
        <w:pStyle w:val="NoSpacing"/>
        <w:rPr>
          <w:rFonts w:ascii="Arial" w:hAnsi="Arial" w:cs="Arial"/>
          <w:color w:val="192A67"/>
          <w:sz w:val="20"/>
          <w:szCs w:val="20"/>
          <w:lang w:val="en" w:eastAsia="en-AU"/>
        </w:rPr>
      </w:pPr>
    </w:p>
    <w:p w:rsidR="00450AFD" w:rsidRPr="00244C8A" w:rsidRDefault="00450AFD" w:rsidP="00450AFD">
      <w:pPr>
        <w:pStyle w:val="NoSpacing"/>
        <w:rPr>
          <w:rFonts w:ascii="Arial" w:hAnsi="Arial" w:cs="Arial"/>
          <w:color w:val="192A67"/>
          <w:sz w:val="20"/>
          <w:szCs w:val="20"/>
          <w:lang w:val="en" w:eastAsia="en-AU"/>
        </w:rPr>
      </w:pPr>
      <w:r w:rsidRPr="00244C8A">
        <w:rPr>
          <w:rFonts w:ascii="Arial" w:hAnsi="Arial" w:cs="Arial"/>
          <w:color w:val="192A67"/>
          <w:sz w:val="20"/>
          <w:szCs w:val="20"/>
          <w:lang w:val="en" w:eastAsia="en-AU"/>
        </w:rPr>
        <w:t>Co-operatives that issue securities to the public, regardless of size, will need to meet the reporting requirements of a large co-operative.</w:t>
      </w:r>
    </w:p>
    <w:p w:rsidR="00450AFD" w:rsidRPr="00244C8A" w:rsidRDefault="00450AFD" w:rsidP="00450AFD">
      <w:pPr>
        <w:pStyle w:val="NoSpacing"/>
        <w:rPr>
          <w:rFonts w:ascii="Arial" w:hAnsi="Arial" w:cs="Arial"/>
          <w:color w:val="192A67"/>
          <w:sz w:val="20"/>
          <w:szCs w:val="20"/>
          <w:lang w:val="en" w:eastAsia="en-AU"/>
        </w:rPr>
      </w:pPr>
    </w:p>
    <w:p w:rsidR="00450AFD" w:rsidRPr="00244C8A" w:rsidRDefault="00450AFD" w:rsidP="00450AFD">
      <w:pPr>
        <w:pStyle w:val="NoSpacing"/>
        <w:rPr>
          <w:rFonts w:ascii="Arial" w:hAnsi="Arial" w:cs="Arial"/>
          <w:i/>
          <w:color w:val="192A67"/>
          <w:sz w:val="20"/>
          <w:szCs w:val="20"/>
          <w:lang w:val="en" w:eastAsia="en-AU"/>
        </w:rPr>
      </w:pPr>
      <w:r w:rsidRPr="00244C8A">
        <w:rPr>
          <w:rFonts w:ascii="Arial" w:hAnsi="Arial" w:cs="Arial"/>
          <w:color w:val="192A67"/>
          <w:sz w:val="20"/>
          <w:szCs w:val="20"/>
          <w:lang w:val="en" w:eastAsia="en-AU"/>
        </w:rPr>
        <w:t>A small co-operative does not require an audit, unless the co-operative is directed to prepare audited financial statements or reviewed financial statements either by its members or the Registrar.  A large co-operative must have an audit and the auditor must b</w:t>
      </w:r>
      <w:r w:rsidR="00EF6A8B" w:rsidRPr="00244C8A">
        <w:rPr>
          <w:rFonts w:ascii="Arial" w:hAnsi="Arial" w:cs="Arial"/>
          <w:color w:val="192A67"/>
          <w:sz w:val="20"/>
          <w:szCs w:val="20"/>
          <w:lang w:val="en" w:eastAsia="en-AU"/>
        </w:rPr>
        <w:t>e a registered company auditor.</w:t>
      </w:r>
    </w:p>
    <w:p w:rsidR="00C5755B" w:rsidRPr="00244C8A" w:rsidRDefault="00C5755B" w:rsidP="009D01FD">
      <w:pPr>
        <w:rPr>
          <w:rFonts w:ascii="Arial" w:eastAsia="Times New Roman" w:hAnsi="Arial" w:cs="Arial"/>
          <w:color w:val="192A67"/>
          <w:sz w:val="20"/>
          <w:szCs w:val="20"/>
          <w:lang w:eastAsia="en-AU"/>
        </w:rPr>
      </w:pPr>
    </w:p>
    <w:sectPr w:rsidR="00C5755B" w:rsidRPr="00244C8A" w:rsidSect="009A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FB7"/>
    <w:multiLevelType w:val="multilevel"/>
    <w:tmpl w:val="CD2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1589"/>
    <w:multiLevelType w:val="multilevel"/>
    <w:tmpl w:val="DE3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02EEA"/>
    <w:multiLevelType w:val="hybridMultilevel"/>
    <w:tmpl w:val="24785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711B4"/>
    <w:multiLevelType w:val="hybridMultilevel"/>
    <w:tmpl w:val="A40A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54757"/>
    <w:multiLevelType w:val="multilevel"/>
    <w:tmpl w:val="2A1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214D6"/>
    <w:multiLevelType w:val="hybridMultilevel"/>
    <w:tmpl w:val="306CF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60294"/>
    <w:multiLevelType w:val="hybridMultilevel"/>
    <w:tmpl w:val="334E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F61DAF"/>
    <w:multiLevelType w:val="multilevel"/>
    <w:tmpl w:val="01CE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E31E8"/>
    <w:multiLevelType w:val="multilevel"/>
    <w:tmpl w:val="7F8A4D98"/>
    <w:lvl w:ilvl="0">
      <w:start w:val="1"/>
      <w:numFmt w:val="bullet"/>
      <w:lvlText w:val=""/>
      <w:lvlJc w:val="left"/>
      <w:pPr>
        <w:tabs>
          <w:tab w:val="num" w:pos="129"/>
        </w:tabs>
        <w:ind w:left="129" w:hanging="360"/>
      </w:pPr>
      <w:rPr>
        <w:rFonts w:ascii="Symbol" w:hAnsi="Symbol" w:hint="default"/>
        <w:sz w:val="20"/>
      </w:rPr>
    </w:lvl>
    <w:lvl w:ilvl="1" w:tentative="1">
      <w:start w:val="1"/>
      <w:numFmt w:val="bullet"/>
      <w:lvlText w:val=""/>
      <w:lvlJc w:val="left"/>
      <w:pPr>
        <w:tabs>
          <w:tab w:val="num" w:pos="849"/>
        </w:tabs>
        <w:ind w:left="849" w:hanging="360"/>
      </w:pPr>
      <w:rPr>
        <w:rFonts w:ascii="Symbol" w:hAnsi="Symbol" w:hint="default"/>
        <w:sz w:val="20"/>
      </w:rPr>
    </w:lvl>
    <w:lvl w:ilvl="2" w:tentative="1">
      <w:start w:val="1"/>
      <w:numFmt w:val="bullet"/>
      <w:lvlText w:val=""/>
      <w:lvlJc w:val="left"/>
      <w:pPr>
        <w:tabs>
          <w:tab w:val="num" w:pos="1569"/>
        </w:tabs>
        <w:ind w:left="1569" w:hanging="360"/>
      </w:pPr>
      <w:rPr>
        <w:rFonts w:ascii="Symbol" w:hAnsi="Symbol" w:hint="default"/>
        <w:sz w:val="20"/>
      </w:rPr>
    </w:lvl>
    <w:lvl w:ilvl="3" w:tentative="1">
      <w:start w:val="1"/>
      <w:numFmt w:val="bullet"/>
      <w:lvlText w:val=""/>
      <w:lvlJc w:val="left"/>
      <w:pPr>
        <w:tabs>
          <w:tab w:val="num" w:pos="2289"/>
        </w:tabs>
        <w:ind w:left="2289" w:hanging="360"/>
      </w:pPr>
      <w:rPr>
        <w:rFonts w:ascii="Symbol" w:hAnsi="Symbol" w:hint="default"/>
        <w:sz w:val="20"/>
      </w:rPr>
    </w:lvl>
    <w:lvl w:ilvl="4" w:tentative="1">
      <w:start w:val="1"/>
      <w:numFmt w:val="bullet"/>
      <w:lvlText w:val=""/>
      <w:lvlJc w:val="left"/>
      <w:pPr>
        <w:tabs>
          <w:tab w:val="num" w:pos="3009"/>
        </w:tabs>
        <w:ind w:left="3009" w:hanging="360"/>
      </w:pPr>
      <w:rPr>
        <w:rFonts w:ascii="Symbol" w:hAnsi="Symbol" w:hint="default"/>
        <w:sz w:val="20"/>
      </w:rPr>
    </w:lvl>
    <w:lvl w:ilvl="5" w:tentative="1">
      <w:start w:val="1"/>
      <w:numFmt w:val="bullet"/>
      <w:lvlText w:val=""/>
      <w:lvlJc w:val="left"/>
      <w:pPr>
        <w:tabs>
          <w:tab w:val="num" w:pos="3729"/>
        </w:tabs>
        <w:ind w:left="3729" w:hanging="360"/>
      </w:pPr>
      <w:rPr>
        <w:rFonts w:ascii="Symbol" w:hAnsi="Symbol" w:hint="default"/>
        <w:sz w:val="20"/>
      </w:rPr>
    </w:lvl>
    <w:lvl w:ilvl="6" w:tentative="1">
      <w:start w:val="1"/>
      <w:numFmt w:val="bullet"/>
      <w:lvlText w:val=""/>
      <w:lvlJc w:val="left"/>
      <w:pPr>
        <w:tabs>
          <w:tab w:val="num" w:pos="4449"/>
        </w:tabs>
        <w:ind w:left="4449" w:hanging="360"/>
      </w:pPr>
      <w:rPr>
        <w:rFonts w:ascii="Symbol" w:hAnsi="Symbol" w:hint="default"/>
        <w:sz w:val="20"/>
      </w:rPr>
    </w:lvl>
    <w:lvl w:ilvl="7" w:tentative="1">
      <w:start w:val="1"/>
      <w:numFmt w:val="bullet"/>
      <w:lvlText w:val=""/>
      <w:lvlJc w:val="left"/>
      <w:pPr>
        <w:tabs>
          <w:tab w:val="num" w:pos="5169"/>
        </w:tabs>
        <w:ind w:left="5169" w:hanging="360"/>
      </w:pPr>
      <w:rPr>
        <w:rFonts w:ascii="Symbol" w:hAnsi="Symbol" w:hint="default"/>
        <w:sz w:val="20"/>
      </w:rPr>
    </w:lvl>
    <w:lvl w:ilvl="8" w:tentative="1">
      <w:start w:val="1"/>
      <w:numFmt w:val="bullet"/>
      <w:lvlText w:val=""/>
      <w:lvlJc w:val="left"/>
      <w:pPr>
        <w:tabs>
          <w:tab w:val="num" w:pos="5889"/>
        </w:tabs>
        <w:ind w:left="5889" w:hanging="360"/>
      </w:pPr>
      <w:rPr>
        <w:rFonts w:ascii="Symbol" w:hAnsi="Symbol" w:hint="default"/>
        <w:sz w:val="20"/>
      </w:rPr>
    </w:lvl>
  </w:abstractNum>
  <w:abstractNum w:abstractNumId="9" w15:restartNumberingAfterBreak="0">
    <w:nsid w:val="4E2528F0"/>
    <w:multiLevelType w:val="multilevel"/>
    <w:tmpl w:val="968A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C1B7C"/>
    <w:multiLevelType w:val="hybridMultilevel"/>
    <w:tmpl w:val="2B9C4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99435F"/>
    <w:multiLevelType w:val="multilevel"/>
    <w:tmpl w:val="B7FAA4C2"/>
    <w:lvl w:ilvl="0">
      <w:start w:val="1"/>
      <w:numFmt w:val="bullet"/>
      <w:lvlText w:val=""/>
      <w:lvlJc w:val="left"/>
      <w:pPr>
        <w:tabs>
          <w:tab w:val="num" w:pos="-298"/>
        </w:tabs>
        <w:ind w:left="-298" w:hanging="360"/>
      </w:pPr>
      <w:rPr>
        <w:rFonts w:ascii="Symbol" w:hAnsi="Symbol" w:hint="default"/>
        <w:sz w:val="20"/>
      </w:rPr>
    </w:lvl>
    <w:lvl w:ilvl="1" w:tentative="1">
      <w:start w:val="1"/>
      <w:numFmt w:val="bullet"/>
      <w:lvlText w:val=""/>
      <w:lvlJc w:val="left"/>
      <w:pPr>
        <w:tabs>
          <w:tab w:val="num" w:pos="422"/>
        </w:tabs>
        <w:ind w:left="422" w:hanging="360"/>
      </w:pPr>
      <w:rPr>
        <w:rFonts w:ascii="Symbol" w:hAnsi="Symbol" w:hint="default"/>
        <w:sz w:val="20"/>
      </w:rPr>
    </w:lvl>
    <w:lvl w:ilvl="2" w:tentative="1">
      <w:start w:val="1"/>
      <w:numFmt w:val="bullet"/>
      <w:lvlText w:val=""/>
      <w:lvlJc w:val="left"/>
      <w:pPr>
        <w:tabs>
          <w:tab w:val="num" w:pos="1142"/>
        </w:tabs>
        <w:ind w:left="1142" w:hanging="360"/>
      </w:pPr>
      <w:rPr>
        <w:rFonts w:ascii="Symbol" w:hAnsi="Symbol" w:hint="default"/>
        <w:sz w:val="20"/>
      </w:rPr>
    </w:lvl>
    <w:lvl w:ilvl="3" w:tentative="1">
      <w:start w:val="1"/>
      <w:numFmt w:val="bullet"/>
      <w:lvlText w:val=""/>
      <w:lvlJc w:val="left"/>
      <w:pPr>
        <w:tabs>
          <w:tab w:val="num" w:pos="1862"/>
        </w:tabs>
        <w:ind w:left="1862" w:hanging="360"/>
      </w:pPr>
      <w:rPr>
        <w:rFonts w:ascii="Symbol" w:hAnsi="Symbol" w:hint="default"/>
        <w:sz w:val="20"/>
      </w:rPr>
    </w:lvl>
    <w:lvl w:ilvl="4" w:tentative="1">
      <w:start w:val="1"/>
      <w:numFmt w:val="bullet"/>
      <w:lvlText w:val=""/>
      <w:lvlJc w:val="left"/>
      <w:pPr>
        <w:tabs>
          <w:tab w:val="num" w:pos="2582"/>
        </w:tabs>
        <w:ind w:left="2582" w:hanging="360"/>
      </w:pPr>
      <w:rPr>
        <w:rFonts w:ascii="Symbol" w:hAnsi="Symbol" w:hint="default"/>
        <w:sz w:val="20"/>
      </w:rPr>
    </w:lvl>
    <w:lvl w:ilvl="5" w:tentative="1">
      <w:start w:val="1"/>
      <w:numFmt w:val="bullet"/>
      <w:lvlText w:val=""/>
      <w:lvlJc w:val="left"/>
      <w:pPr>
        <w:tabs>
          <w:tab w:val="num" w:pos="3302"/>
        </w:tabs>
        <w:ind w:left="3302" w:hanging="360"/>
      </w:pPr>
      <w:rPr>
        <w:rFonts w:ascii="Symbol" w:hAnsi="Symbol" w:hint="default"/>
        <w:sz w:val="20"/>
      </w:rPr>
    </w:lvl>
    <w:lvl w:ilvl="6" w:tentative="1">
      <w:start w:val="1"/>
      <w:numFmt w:val="bullet"/>
      <w:lvlText w:val=""/>
      <w:lvlJc w:val="left"/>
      <w:pPr>
        <w:tabs>
          <w:tab w:val="num" w:pos="4022"/>
        </w:tabs>
        <w:ind w:left="4022" w:hanging="360"/>
      </w:pPr>
      <w:rPr>
        <w:rFonts w:ascii="Symbol" w:hAnsi="Symbol" w:hint="default"/>
        <w:sz w:val="20"/>
      </w:rPr>
    </w:lvl>
    <w:lvl w:ilvl="7" w:tentative="1">
      <w:start w:val="1"/>
      <w:numFmt w:val="bullet"/>
      <w:lvlText w:val=""/>
      <w:lvlJc w:val="left"/>
      <w:pPr>
        <w:tabs>
          <w:tab w:val="num" w:pos="4742"/>
        </w:tabs>
        <w:ind w:left="4742" w:hanging="360"/>
      </w:pPr>
      <w:rPr>
        <w:rFonts w:ascii="Symbol" w:hAnsi="Symbol" w:hint="default"/>
        <w:sz w:val="20"/>
      </w:rPr>
    </w:lvl>
    <w:lvl w:ilvl="8" w:tentative="1">
      <w:start w:val="1"/>
      <w:numFmt w:val="bullet"/>
      <w:lvlText w:val=""/>
      <w:lvlJc w:val="left"/>
      <w:pPr>
        <w:tabs>
          <w:tab w:val="num" w:pos="5462"/>
        </w:tabs>
        <w:ind w:left="5462" w:hanging="360"/>
      </w:pPr>
      <w:rPr>
        <w:rFonts w:ascii="Symbol" w:hAnsi="Symbol" w:hint="default"/>
        <w:sz w:val="20"/>
      </w:rPr>
    </w:lvl>
  </w:abstractNum>
  <w:abstractNum w:abstractNumId="12" w15:restartNumberingAfterBreak="0">
    <w:nsid w:val="66661798"/>
    <w:multiLevelType w:val="multilevel"/>
    <w:tmpl w:val="94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3734B"/>
    <w:multiLevelType w:val="hybridMultilevel"/>
    <w:tmpl w:val="A9EC341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482A84"/>
    <w:multiLevelType w:val="hybridMultilevel"/>
    <w:tmpl w:val="C860B94C"/>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8B1DEF"/>
    <w:multiLevelType w:val="multilevel"/>
    <w:tmpl w:val="26A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8"/>
  </w:num>
  <w:num w:numId="5">
    <w:abstractNumId w:val="4"/>
  </w:num>
  <w:num w:numId="6">
    <w:abstractNumId w:val="9"/>
  </w:num>
  <w:num w:numId="7">
    <w:abstractNumId w:val="0"/>
  </w:num>
  <w:num w:numId="8">
    <w:abstractNumId w:val="1"/>
  </w:num>
  <w:num w:numId="9">
    <w:abstractNumId w:val="7"/>
  </w:num>
  <w:num w:numId="10">
    <w:abstractNumId w:val="15"/>
  </w:num>
  <w:num w:numId="11">
    <w:abstractNumId w:val="12"/>
  </w:num>
  <w:num w:numId="12">
    <w:abstractNumId w:val="3"/>
  </w:num>
  <w:num w:numId="13">
    <w:abstractNumId w:val="6"/>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E"/>
    <w:rsid w:val="00031697"/>
    <w:rsid w:val="0007646E"/>
    <w:rsid w:val="00084BA7"/>
    <w:rsid w:val="000935E4"/>
    <w:rsid w:val="000A4C65"/>
    <w:rsid w:val="000C1810"/>
    <w:rsid w:val="000C7D2B"/>
    <w:rsid w:val="00105754"/>
    <w:rsid w:val="00170774"/>
    <w:rsid w:val="001849ED"/>
    <w:rsid w:val="001A4744"/>
    <w:rsid w:val="00222BD7"/>
    <w:rsid w:val="00244C8A"/>
    <w:rsid w:val="0026435D"/>
    <w:rsid w:val="002E491A"/>
    <w:rsid w:val="002F1926"/>
    <w:rsid w:val="00312977"/>
    <w:rsid w:val="003277B4"/>
    <w:rsid w:val="003619C3"/>
    <w:rsid w:val="003D4E49"/>
    <w:rsid w:val="003D5761"/>
    <w:rsid w:val="003F3529"/>
    <w:rsid w:val="004116C1"/>
    <w:rsid w:val="00425515"/>
    <w:rsid w:val="00450AFD"/>
    <w:rsid w:val="004867B6"/>
    <w:rsid w:val="0049142E"/>
    <w:rsid w:val="004D50B4"/>
    <w:rsid w:val="0059288B"/>
    <w:rsid w:val="00597974"/>
    <w:rsid w:val="005A0596"/>
    <w:rsid w:val="005B0FB5"/>
    <w:rsid w:val="005B7583"/>
    <w:rsid w:val="00605C18"/>
    <w:rsid w:val="006461F2"/>
    <w:rsid w:val="0068209E"/>
    <w:rsid w:val="006871DE"/>
    <w:rsid w:val="0069414C"/>
    <w:rsid w:val="006D5F69"/>
    <w:rsid w:val="00717020"/>
    <w:rsid w:val="00747013"/>
    <w:rsid w:val="0076189B"/>
    <w:rsid w:val="007645D6"/>
    <w:rsid w:val="00776836"/>
    <w:rsid w:val="007A30C4"/>
    <w:rsid w:val="007A4833"/>
    <w:rsid w:val="00801F1D"/>
    <w:rsid w:val="00852C1B"/>
    <w:rsid w:val="00870236"/>
    <w:rsid w:val="00877C98"/>
    <w:rsid w:val="008D2B23"/>
    <w:rsid w:val="008F38D4"/>
    <w:rsid w:val="009847B6"/>
    <w:rsid w:val="009A18DA"/>
    <w:rsid w:val="009D01FD"/>
    <w:rsid w:val="00A27D59"/>
    <w:rsid w:val="00A52491"/>
    <w:rsid w:val="00A8628E"/>
    <w:rsid w:val="00A91420"/>
    <w:rsid w:val="00AA1C97"/>
    <w:rsid w:val="00AE166B"/>
    <w:rsid w:val="00AE2127"/>
    <w:rsid w:val="00B6368A"/>
    <w:rsid w:val="00B74931"/>
    <w:rsid w:val="00BB16FF"/>
    <w:rsid w:val="00C5755B"/>
    <w:rsid w:val="00D15F02"/>
    <w:rsid w:val="00D23A4F"/>
    <w:rsid w:val="00D614FE"/>
    <w:rsid w:val="00D67531"/>
    <w:rsid w:val="00D75663"/>
    <w:rsid w:val="00DB3111"/>
    <w:rsid w:val="00E07852"/>
    <w:rsid w:val="00E33C87"/>
    <w:rsid w:val="00E658F8"/>
    <w:rsid w:val="00E86BA4"/>
    <w:rsid w:val="00EB039F"/>
    <w:rsid w:val="00EB236C"/>
    <w:rsid w:val="00EF6A8B"/>
    <w:rsid w:val="00F634B7"/>
    <w:rsid w:val="00F77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FEED13C-B75C-406A-95DB-1A17E61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9E"/>
    <w:pPr>
      <w:ind w:left="720"/>
      <w:contextualSpacing/>
    </w:pPr>
  </w:style>
  <w:style w:type="character" w:styleId="Hyperlink">
    <w:name w:val="Hyperlink"/>
    <w:basedOn w:val="DefaultParagraphFont"/>
    <w:uiPriority w:val="99"/>
    <w:unhideWhenUsed/>
    <w:rsid w:val="001849ED"/>
    <w:rPr>
      <w:color w:val="0000FF"/>
      <w:u w:val="single"/>
    </w:rPr>
  </w:style>
  <w:style w:type="character" w:styleId="Emphasis">
    <w:name w:val="Emphasis"/>
    <w:basedOn w:val="DefaultParagraphFont"/>
    <w:uiPriority w:val="20"/>
    <w:qFormat/>
    <w:rsid w:val="001849ED"/>
    <w:rPr>
      <w:i/>
      <w:iCs/>
    </w:rPr>
  </w:style>
  <w:style w:type="character" w:styleId="Strong">
    <w:name w:val="Strong"/>
    <w:basedOn w:val="DefaultParagraphFont"/>
    <w:uiPriority w:val="22"/>
    <w:qFormat/>
    <w:rsid w:val="00C5755B"/>
    <w:rPr>
      <w:b/>
      <w:bCs/>
      <w:i w:val="0"/>
      <w:iCs w:val="0"/>
    </w:rPr>
  </w:style>
  <w:style w:type="paragraph" w:styleId="NormalWeb">
    <w:name w:val="Normal (Web)"/>
    <w:basedOn w:val="Normal"/>
    <w:uiPriority w:val="99"/>
    <w:semiHidden/>
    <w:unhideWhenUsed/>
    <w:rsid w:val="007A30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7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98"/>
    <w:rPr>
      <w:rFonts w:ascii="Segoe UI" w:hAnsi="Segoe UI" w:cs="Segoe UI"/>
      <w:sz w:val="18"/>
      <w:szCs w:val="18"/>
    </w:rPr>
  </w:style>
  <w:style w:type="paragraph" w:styleId="NoSpacing">
    <w:name w:val="No Spacing"/>
    <w:uiPriority w:val="1"/>
    <w:qFormat/>
    <w:rsid w:val="008F3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7496">
      <w:bodyDiv w:val="1"/>
      <w:marLeft w:val="0"/>
      <w:marRight w:val="0"/>
      <w:marTop w:val="0"/>
      <w:marBottom w:val="0"/>
      <w:divBdr>
        <w:top w:val="none" w:sz="0" w:space="0" w:color="auto"/>
        <w:left w:val="none" w:sz="0" w:space="0" w:color="auto"/>
        <w:bottom w:val="none" w:sz="0" w:space="0" w:color="auto"/>
        <w:right w:val="none" w:sz="0" w:space="0" w:color="auto"/>
      </w:divBdr>
      <w:divsChild>
        <w:div w:id="290985549">
          <w:marLeft w:val="0"/>
          <w:marRight w:val="0"/>
          <w:marTop w:val="0"/>
          <w:marBottom w:val="0"/>
          <w:divBdr>
            <w:top w:val="none" w:sz="0" w:space="0" w:color="auto"/>
            <w:left w:val="none" w:sz="0" w:space="0" w:color="auto"/>
            <w:bottom w:val="none" w:sz="0" w:space="0" w:color="auto"/>
            <w:right w:val="none" w:sz="0" w:space="0" w:color="auto"/>
          </w:divBdr>
          <w:divsChild>
            <w:div w:id="1041905021">
              <w:marLeft w:val="0"/>
              <w:marRight w:val="0"/>
              <w:marTop w:val="0"/>
              <w:marBottom w:val="0"/>
              <w:divBdr>
                <w:top w:val="none" w:sz="0" w:space="0" w:color="auto"/>
                <w:left w:val="none" w:sz="0" w:space="0" w:color="auto"/>
                <w:bottom w:val="none" w:sz="0" w:space="0" w:color="auto"/>
                <w:right w:val="none" w:sz="0" w:space="0" w:color="auto"/>
              </w:divBdr>
              <w:divsChild>
                <w:div w:id="2100829578">
                  <w:marLeft w:val="0"/>
                  <w:marRight w:val="0"/>
                  <w:marTop w:val="0"/>
                  <w:marBottom w:val="0"/>
                  <w:divBdr>
                    <w:top w:val="none" w:sz="0" w:space="0" w:color="auto"/>
                    <w:left w:val="none" w:sz="0" w:space="0" w:color="auto"/>
                    <w:bottom w:val="none" w:sz="0" w:space="0" w:color="auto"/>
                    <w:right w:val="none" w:sz="0" w:space="0" w:color="auto"/>
                  </w:divBdr>
                  <w:divsChild>
                    <w:div w:id="605577369">
                      <w:marLeft w:val="0"/>
                      <w:marRight w:val="0"/>
                      <w:marTop w:val="0"/>
                      <w:marBottom w:val="0"/>
                      <w:divBdr>
                        <w:top w:val="none" w:sz="0" w:space="0" w:color="auto"/>
                        <w:left w:val="none" w:sz="0" w:space="0" w:color="auto"/>
                        <w:bottom w:val="none" w:sz="0" w:space="0" w:color="auto"/>
                        <w:right w:val="none" w:sz="0" w:space="0" w:color="auto"/>
                      </w:divBdr>
                      <w:divsChild>
                        <w:div w:id="295456965">
                          <w:marLeft w:val="0"/>
                          <w:marRight w:val="0"/>
                          <w:marTop w:val="0"/>
                          <w:marBottom w:val="0"/>
                          <w:divBdr>
                            <w:top w:val="none" w:sz="0" w:space="0" w:color="auto"/>
                            <w:left w:val="none" w:sz="0" w:space="0" w:color="auto"/>
                            <w:bottom w:val="none" w:sz="0" w:space="0" w:color="auto"/>
                            <w:right w:val="none" w:sz="0" w:space="0" w:color="auto"/>
                          </w:divBdr>
                          <w:divsChild>
                            <w:div w:id="284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93583">
      <w:bodyDiv w:val="1"/>
      <w:marLeft w:val="0"/>
      <w:marRight w:val="0"/>
      <w:marTop w:val="0"/>
      <w:marBottom w:val="0"/>
      <w:divBdr>
        <w:top w:val="none" w:sz="0" w:space="0" w:color="auto"/>
        <w:left w:val="none" w:sz="0" w:space="0" w:color="auto"/>
        <w:bottom w:val="none" w:sz="0" w:space="0" w:color="auto"/>
        <w:right w:val="none" w:sz="0" w:space="0" w:color="auto"/>
      </w:divBdr>
      <w:divsChild>
        <w:div w:id="1964187788">
          <w:marLeft w:val="0"/>
          <w:marRight w:val="0"/>
          <w:marTop w:val="0"/>
          <w:marBottom w:val="0"/>
          <w:divBdr>
            <w:top w:val="none" w:sz="0" w:space="0" w:color="auto"/>
            <w:left w:val="none" w:sz="0" w:space="0" w:color="auto"/>
            <w:bottom w:val="none" w:sz="0" w:space="0" w:color="auto"/>
            <w:right w:val="none" w:sz="0" w:space="0" w:color="auto"/>
          </w:divBdr>
          <w:divsChild>
            <w:div w:id="1162702939">
              <w:marLeft w:val="0"/>
              <w:marRight w:val="0"/>
              <w:marTop w:val="0"/>
              <w:marBottom w:val="0"/>
              <w:divBdr>
                <w:top w:val="none" w:sz="0" w:space="0" w:color="auto"/>
                <w:left w:val="none" w:sz="0" w:space="0" w:color="auto"/>
                <w:bottom w:val="none" w:sz="0" w:space="0" w:color="auto"/>
                <w:right w:val="none" w:sz="0" w:space="0" w:color="auto"/>
              </w:divBdr>
              <w:divsChild>
                <w:div w:id="1999572744">
                  <w:marLeft w:val="0"/>
                  <w:marRight w:val="0"/>
                  <w:marTop w:val="0"/>
                  <w:marBottom w:val="0"/>
                  <w:divBdr>
                    <w:top w:val="single" w:sz="6" w:space="20" w:color="D7D7D7"/>
                    <w:left w:val="single" w:sz="6" w:space="20" w:color="D7D7D7"/>
                    <w:bottom w:val="single" w:sz="6" w:space="27" w:color="D7D7D7"/>
                    <w:right w:val="single" w:sz="6" w:space="20" w:color="D7D7D7"/>
                  </w:divBdr>
                  <w:divsChild>
                    <w:div w:id="622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2505">
      <w:bodyDiv w:val="1"/>
      <w:marLeft w:val="0"/>
      <w:marRight w:val="0"/>
      <w:marTop w:val="0"/>
      <w:marBottom w:val="0"/>
      <w:divBdr>
        <w:top w:val="none" w:sz="0" w:space="0" w:color="auto"/>
        <w:left w:val="none" w:sz="0" w:space="0" w:color="auto"/>
        <w:bottom w:val="none" w:sz="0" w:space="0" w:color="auto"/>
        <w:right w:val="none" w:sz="0" w:space="0" w:color="auto"/>
      </w:divBdr>
      <w:divsChild>
        <w:div w:id="522669843">
          <w:marLeft w:val="0"/>
          <w:marRight w:val="0"/>
          <w:marTop w:val="0"/>
          <w:marBottom w:val="0"/>
          <w:divBdr>
            <w:top w:val="none" w:sz="0" w:space="0" w:color="auto"/>
            <w:left w:val="none" w:sz="0" w:space="0" w:color="auto"/>
            <w:bottom w:val="none" w:sz="0" w:space="0" w:color="auto"/>
            <w:right w:val="none" w:sz="0" w:space="0" w:color="auto"/>
          </w:divBdr>
          <w:divsChild>
            <w:div w:id="304703282">
              <w:marLeft w:val="0"/>
              <w:marRight w:val="0"/>
              <w:marTop w:val="0"/>
              <w:marBottom w:val="0"/>
              <w:divBdr>
                <w:top w:val="none" w:sz="0" w:space="0" w:color="auto"/>
                <w:left w:val="none" w:sz="0" w:space="0" w:color="auto"/>
                <w:bottom w:val="none" w:sz="0" w:space="0" w:color="auto"/>
                <w:right w:val="none" w:sz="0" w:space="0" w:color="auto"/>
              </w:divBdr>
              <w:divsChild>
                <w:div w:id="1779133765">
                  <w:marLeft w:val="0"/>
                  <w:marRight w:val="0"/>
                  <w:marTop w:val="0"/>
                  <w:marBottom w:val="0"/>
                  <w:divBdr>
                    <w:top w:val="none" w:sz="0" w:space="0" w:color="auto"/>
                    <w:left w:val="none" w:sz="0" w:space="0" w:color="auto"/>
                    <w:bottom w:val="none" w:sz="0" w:space="0" w:color="auto"/>
                    <w:right w:val="none" w:sz="0" w:space="0" w:color="auto"/>
                  </w:divBdr>
                  <w:divsChild>
                    <w:div w:id="580064717">
                      <w:marLeft w:val="0"/>
                      <w:marRight w:val="0"/>
                      <w:marTop w:val="100"/>
                      <w:marBottom w:val="0"/>
                      <w:divBdr>
                        <w:top w:val="none" w:sz="0" w:space="0" w:color="auto"/>
                        <w:left w:val="none" w:sz="0" w:space="0" w:color="auto"/>
                        <w:bottom w:val="none" w:sz="0" w:space="0" w:color="auto"/>
                        <w:right w:val="none" w:sz="0" w:space="0" w:color="auto"/>
                      </w:divBdr>
                      <w:divsChild>
                        <w:div w:id="648830977">
                          <w:marLeft w:val="0"/>
                          <w:marRight w:val="0"/>
                          <w:marTop w:val="0"/>
                          <w:marBottom w:val="0"/>
                          <w:divBdr>
                            <w:top w:val="none" w:sz="0" w:space="0" w:color="auto"/>
                            <w:left w:val="none" w:sz="0" w:space="0" w:color="auto"/>
                            <w:bottom w:val="none" w:sz="0" w:space="0" w:color="auto"/>
                            <w:right w:val="none" w:sz="0" w:space="0" w:color="auto"/>
                          </w:divBdr>
                          <w:divsChild>
                            <w:div w:id="1059091705">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6000"/>
                                  <w:marRight w:val="0"/>
                                  <w:marTop w:val="0"/>
                                  <w:marBottom w:val="0"/>
                                  <w:divBdr>
                                    <w:top w:val="none" w:sz="0" w:space="0" w:color="auto"/>
                                    <w:left w:val="none" w:sz="0" w:space="0" w:color="auto"/>
                                    <w:bottom w:val="none" w:sz="0" w:space="0" w:color="auto"/>
                                    <w:right w:val="none" w:sz="0" w:space="0" w:color="auto"/>
                                  </w:divBdr>
                                  <w:divsChild>
                                    <w:div w:id="182937564">
                                      <w:marLeft w:val="3885"/>
                                      <w:marRight w:val="0"/>
                                      <w:marTop w:val="0"/>
                                      <w:marBottom w:val="0"/>
                                      <w:divBdr>
                                        <w:top w:val="none" w:sz="0" w:space="0" w:color="auto"/>
                                        <w:left w:val="none" w:sz="0" w:space="0" w:color="auto"/>
                                        <w:bottom w:val="none" w:sz="0" w:space="0" w:color="auto"/>
                                        <w:right w:val="none" w:sz="0" w:space="0" w:color="auto"/>
                                      </w:divBdr>
                                      <w:divsChild>
                                        <w:div w:id="2101831818">
                                          <w:marLeft w:val="0"/>
                                          <w:marRight w:val="0"/>
                                          <w:marTop w:val="0"/>
                                          <w:marBottom w:val="0"/>
                                          <w:divBdr>
                                            <w:top w:val="none" w:sz="0" w:space="0" w:color="auto"/>
                                            <w:left w:val="none" w:sz="0" w:space="0" w:color="auto"/>
                                            <w:bottom w:val="none" w:sz="0" w:space="0" w:color="auto"/>
                                            <w:right w:val="none" w:sz="0" w:space="0" w:color="auto"/>
                                          </w:divBdr>
                                          <w:divsChild>
                                            <w:div w:id="208033174">
                                              <w:marLeft w:val="0"/>
                                              <w:marRight w:val="0"/>
                                              <w:marTop w:val="0"/>
                                              <w:marBottom w:val="0"/>
                                              <w:divBdr>
                                                <w:top w:val="none" w:sz="0" w:space="0" w:color="auto"/>
                                                <w:left w:val="none" w:sz="0" w:space="0" w:color="auto"/>
                                                <w:bottom w:val="none" w:sz="0" w:space="0" w:color="auto"/>
                                                <w:right w:val="none" w:sz="0" w:space="0" w:color="auto"/>
                                              </w:divBdr>
                                              <w:divsChild>
                                                <w:div w:id="1942688032">
                                                  <w:marLeft w:val="0"/>
                                                  <w:marRight w:val="0"/>
                                                  <w:marTop w:val="0"/>
                                                  <w:marBottom w:val="0"/>
                                                  <w:divBdr>
                                                    <w:top w:val="none" w:sz="0" w:space="0" w:color="auto"/>
                                                    <w:left w:val="none" w:sz="0" w:space="0" w:color="auto"/>
                                                    <w:bottom w:val="none" w:sz="0" w:space="0" w:color="auto"/>
                                                    <w:right w:val="none" w:sz="0" w:space="0" w:color="auto"/>
                                                  </w:divBdr>
                                                  <w:divsChild>
                                                    <w:div w:id="1283728192">
                                                      <w:marLeft w:val="0"/>
                                                      <w:marRight w:val="0"/>
                                                      <w:marTop w:val="0"/>
                                                      <w:marBottom w:val="0"/>
                                                      <w:divBdr>
                                                        <w:top w:val="none" w:sz="0" w:space="0" w:color="auto"/>
                                                        <w:left w:val="none" w:sz="0" w:space="0" w:color="auto"/>
                                                        <w:bottom w:val="none" w:sz="0" w:space="0" w:color="auto"/>
                                                        <w:right w:val="none" w:sz="0" w:space="0" w:color="auto"/>
                                                      </w:divBdr>
                                                      <w:divsChild>
                                                        <w:div w:id="1920483244">
                                                          <w:marLeft w:val="0"/>
                                                          <w:marRight w:val="0"/>
                                                          <w:marTop w:val="0"/>
                                                          <w:marBottom w:val="0"/>
                                                          <w:divBdr>
                                                            <w:top w:val="none" w:sz="0" w:space="0" w:color="auto"/>
                                                            <w:left w:val="none" w:sz="0" w:space="0" w:color="auto"/>
                                                            <w:bottom w:val="none" w:sz="0" w:space="0" w:color="auto"/>
                                                            <w:right w:val="none" w:sz="0" w:space="0" w:color="auto"/>
                                                          </w:divBdr>
                                                          <w:divsChild>
                                                            <w:div w:id="973487905">
                                                              <w:marLeft w:val="0"/>
                                                              <w:marRight w:val="0"/>
                                                              <w:marTop w:val="0"/>
                                                              <w:marBottom w:val="0"/>
                                                              <w:divBdr>
                                                                <w:top w:val="none" w:sz="0" w:space="0" w:color="auto"/>
                                                                <w:left w:val="none" w:sz="0" w:space="0" w:color="auto"/>
                                                                <w:bottom w:val="none" w:sz="0" w:space="0" w:color="auto"/>
                                                                <w:right w:val="none" w:sz="0" w:space="0" w:color="auto"/>
                                                              </w:divBdr>
                                                              <w:divsChild>
                                                                <w:div w:id="509611707">
                                                                  <w:marLeft w:val="0"/>
                                                                  <w:marRight w:val="0"/>
                                                                  <w:marTop w:val="0"/>
                                                                  <w:marBottom w:val="0"/>
                                                                  <w:divBdr>
                                                                    <w:top w:val="none" w:sz="0" w:space="0" w:color="auto"/>
                                                                    <w:left w:val="none" w:sz="0" w:space="0" w:color="auto"/>
                                                                    <w:bottom w:val="none" w:sz="0" w:space="0" w:color="auto"/>
                                                                    <w:right w:val="none" w:sz="0" w:space="0" w:color="auto"/>
                                                                  </w:divBdr>
                                                                  <w:divsChild>
                                                                    <w:div w:id="1894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3088">
      <w:bodyDiv w:val="1"/>
      <w:marLeft w:val="0"/>
      <w:marRight w:val="0"/>
      <w:marTop w:val="0"/>
      <w:marBottom w:val="0"/>
      <w:divBdr>
        <w:top w:val="none" w:sz="0" w:space="0" w:color="auto"/>
        <w:left w:val="none" w:sz="0" w:space="0" w:color="auto"/>
        <w:bottom w:val="none" w:sz="0" w:space="0" w:color="auto"/>
        <w:right w:val="none" w:sz="0" w:space="0" w:color="auto"/>
      </w:divBdr>
      <w:divsChild>
        <w:div w:id="851065268">
          <w:marLeft w:val="0"/>
          <w:marRight w:val="0"/>
          <w:marTop w:val="0"/>
          <w:marBottom w:val="0"/>
          <w:divBdr>
            <w:top w:val="none" w:sz="0" w:space="0" w:color="auto"/>
            <w:left w:val="none" w:sz="0" w:space="0" w:color="auto"/>
            <w:bottom w:val="none" w:sz="0" w:space="0" w:color="auto"/>
            <w:right w:val="none" w:sz="0" w:space="0" w:color="auto"/>
          </w:divBdr>
          <w:divsChild>
            <w:div w:id="1897005394">
              <w:marLeft w:val="0"/>
              <w:marRight w:val="0"/>
              <w:marTop w:val="0"/>
              <w:marBottom w:val="0"/>
              <w:divBdr>
                <w:top w:val="none" w:sz="0" w:space="0" w:color="auto"/>
                <w:left w:val="none" w:sz="0" w:space="0" w:color="auto"/>
                <w:bottom w:val="none" w:sz="0" w:space="0" w:color="auto"/>
                <w:right w:val="none" w:sz="0" w:space="0" w:color="auto"/>
              </w:divBdr>
              <w:divsChild>
                <w:div w:id="236942824">
                  <w:marLeft w:val="0"/>
                  <w:marRight w:val="0"/>
                  <w:marTop w:val="0"/>
                  <w:marBottom w:val="0"/>
                  <w:divBdr>
                    <w:top w:val="single" w:sz="6" w:space="20" w:color="D7D7D7"/>
                    <w:left w:val="single" w:sz="6" w:space="20" w:color="D7D7D7"/>
                    <w:bottom w:val="single" w:sz="6" w:space="27" w:color="D7D7D7"/>
                    <w:right w:val="single" w:sz="6" w:space="20" w:color="D7D7D7"/>
                  </w:divBdr>
                  <w:divsChild>
                    <w:div w:id="119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7647">
      <w:bodyDiv w:val="1"/>
      <w:marLeft w:val="0"/>
      <w:marRight w:val="0"/>
      <w:marTop w:val="0"/>
      <w:marBottom w:val="0"/>
      <w:divBdr>
        <w:top w:val="none" w:sz="0" w:space="0" w:color="auto"/>
        <w:left w:val="none" w:sz="0" w:space="0" w:color="auto"/>
        <w:bottom w:val="none" w:sz="0" w:space="0" w:color="auto"/>
        <w:right w:val="none" w:sz="0" w:space="0" w:color="auto"/>
      </w:divBdr>
      <w:divsChild>
        <w:div w:id="71231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716169">
      <w:bodyDiv w:val="1"/>
      <w:marLeft w:val="0"/>
      <w:marRight w:val="0"/>
      <w:marTop w:val="0"/>
      <w:marBottom w:val="0"/>
      <w:divBdr>
        <w:top w:val="none" w:sz="0" w:space="0" w:color="auto"/>
        <w:left w:val="none" w:sz="0" w:space="0" w:color="auto"/>
        <w:bottom w:val="none" w:sz="0" w:space="0" w:color="auto"/>
        <w:right w:val="none" w:sz="0" w:space="0" w:color="auto"/>
      </w:divBdr>
      <w:divsChild>
        <w:div w:id="500855801">
          <w:marLeft w:val="0"/>
          <w:marRight w:val="0"/>
          <w:marTop w:val="0"/>
          <w:marBottom w:val="0"/>
          <w:divBdr>
            <w:top w:val="none" w:sz="0" w:space="0" w:color="auto"/>
            <w:left w:val="none" w:sz="0" w:space="0" w:color="auto"/>
            <w:bottom w:val="none" w:sz="0" w:space="0" w:color="auto"/>
            <w:right w:val="none" w:sz="0" w:space="0" w:color="auto"/>
          </w:divBdr>
          <w:divsChild>
            <w:div w:id="110322989">
              <w:marLeft w:val="0"/>
              <w:marRight w:val="0"/>
              <w:marTop w:val="0"/>
              <w:marBottom w:val="0"/>
              <w:divBdr>
                <w:top w:val="none" w:sz="0" w:space="0" w:color="auto"/>
                <w:left w:val="none" w:sz="0" w:space="0" w:color="auto"/>
                <w:bottom w:val="none" w:sz="0" w:space="0" w:color="auto"/>
                <w:right w:val="none" w:sz="0" w:space="0" w:color="auto"/>
              </w:divBdr>
              <w:divsChild>
                <w:div w:id="1268922656">
                  <w:marLeft w:val="0"/>
                  <w:marRight w:val="0"/>
                  <w:marTop w:val="0"/>
                  <w:marBottom w:val="0"/>
                  <w:divBdr>
                    <w:top w:val="single" w:sz="6" w:space="20" w:color="D7D7D7"/>
                    <w:left w:val="single" w:sz="6" w:space="20" w:color="D7D7D7"/>
                    <w:bottom w:val="single" w:sz="6" w:space="27" w:color="D7D7D7"/>
                    <w:right w:val="single" w:sz="6" w:space="20" w:color="D7D7D7"/>
                  </w:divBdr>
                  <w:divsChild>
                    <w:div w:id="13929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63347">
      <w:bodyDiv w:val="1"/>
      <w:marLeft w:val="0"/>
      <w:marRight w:val="0"/>
      <w:marTop w:val="0"/>
      <w:marBottom w:val="0"/>
      <w:divBdr>
        <w:top w:val="none" w:sz="0" w:space="0" w:color="auto"/>
        <w:left w:val="none" w:sz="0" w:space="0" w:color="auto"/>
        <w:bottom w:val="none" w:sz="0" w:space="0" w:color="auto"/>
        <w:right w:val="none" w:sz="0" w:space="0" w:color="auto"/>
      </w:divBdr>
      <w:divsChild>
        <w:div w:id="1159687408">
          <w:marLeft w:val="0"/>
          <w:marRight w:val="0"/>
          <w:marTop w:val="0"/>
          <w:marBottom w:val="0"/>
          <w:divBdr>
            <w:top w:val="none" w:sz="0" w:space="0" w:color="auto"/>
            <w:left w:val="none" w:sz="0" w:space="0" w:color="auto"/>
            <w:bottom w:val="none" w:sz="0" w:space="0" w:color="auto"/>
            <w:right w:val="none" w:sz="0" w:space="0" w:color="auto"/>
          </w:divBdr>
          <w:divsChild>
            <w:div w:id="531454814">
              <w:marLeft w:val="0"/>
              <w:marRight w:val="0"/>
              <w:marTop w:val="0"/>
              <w:marBottom w:val="0"/>
              <w:divBdr>
                <w:top w:val="none" w:sz="0" w:space="0" w:color="auto"/>
                <w:left w:val="none" w:sz="0" w:space="0" w:color="auto"/>
                <w:bottom w:val="none" w:sz="0" w:space="0" w:color="auto"/>
                <w:right w:val="none" w:sz="0" w:space="0" w:color="auto"/>
              </w:divBdr>
              <w:divsChild>
                <w:div w:id="1653366948">
                  <w:marLeft w:val="0"/>
                  <w:marRight w:val="0"/>
                  <w:marTop w:val="0"/>
                  <w:marBottom w:val="0"/>
                  <w:divBdr>
                    <w:top w:val="none" w:sz="0" w:space="0" w:color="auto"/>
                    <w:left w:val="none" w:sz="0" w:space="0" w:color="auto"/>
                    <w:bottom w:val="none" w:sz="0" w:space="0" w:color="auto"/>
                    <w:right w:val="none" w:sz="0" w:space="0" w:color="auto"/>
                  </w:divBdr>
                  <w:divsChild>
                    <w:div w:id="760492438">
                      <w:marLeft w:val="0"/>
                      <w:marRight w:val="0"/>
                      <w:marTop w:val="0"/>
                      <w:marBottom w:val="0"/>
                      <w:divBdr>
                        <w:top w:val="none" w:sz="0" w:space="0" w:color="auto"/>
                        <w:left w:val="none" w:sz="0" w:space="0" w:color="auto"/>
                        <w:bottom w:val="none" w:sz="0" w:space="0" w:color="auto"/>
                        <w:right w:val="none" w:sz="0" w:space="0" w:color="auto"/>
                      </w:divBdr>
                      <w:divsChild>
                        <w:div w:id="1909459086">
                          <w:marLeft w:val="0"/>
                          <w:marRight w:val="0"/>
                          <w:marTop w:val="0"/>
                          <w:marBottom w:val="0"/>
                          <w:divBdr>
                            <w:top w:val="none" w:sz="0" w:space="0" w:color="auto"/>
                            <w:left w:val="none" w:sz="0" w:space="0" w:color="auto"/>
                            <w:bottom w:val="none" w:sz="0" w:space="0" w:color="auto"/>
                            <w:right w:val="none" w:sz="0" w:space="0" w:color="auto"/>
                          </w:divBdr>
                          <w:divsChild>
                            <w:div w:id="37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9991">
      <w:bodyDiv w:val="1"/>
      <w:marLeft w:val="0"/>
      <w:marRight w:val="0"/>
      <w:marTop w:val="0"/>
      <w:marBottom w:val="0"/>
      <w:divBdr>
        <w:top w:val="none" w:sz="0" w:space="0" w:color="auto"/>
        <w:left w:val="none" w:sz="0" w:space="0" w:color="auto"/>
        <w:bottom w:val="none" w:sz="0" w:space="0" w:color="auto"/>
        <w:right w:val="none" w:sz="0" w:space="0" w:color="auto"/>
      </w:divBdr>
      <w:divsChild>
        <w:div w:id="2005813132">
          <w:marLeft w:val="0"/>
          <w:marRight w:val="0"/>
          <w:marTop w:val="136"/>
          <w:marBottom w:val="0"/>
          <w:divBdr>
            <w:top w:val="none" w:sz="0" w:space="0" w:color="auto"/>
            <w:left w:val="none" w:sz="0" w:space="0" w:color="auto"/>
            <w:bottom w:val="none" w:sz="0" w:space="0" w:color="auto"/>
            <w:right w:val="none" w:sz="0" w:space="0" w:color="auto"/>
          </w:divBdr>
          <w:divsChild>
            <w:div w:id="1018964918">
              <w:marLeft w:val="0"/>
              <w:marRight w:val="0"/>
              <w:marTop w:val="0"/>
              <w:marBottom w:val="0"/>
              <w:divBdr>
                <w:top w:val="none" w:sz="0" w:space="0" w:color="auto"/>
                <w:left w:val="none" w:sz="0" w:space="0" w:color="auto"/>
                <w:bottom w:val="none" w:sz="0" w:space="0" w:color="auto"/>
                <w:right w:val="none" w:sz="0" w:space="0" w:color="auto"/>
              </w:divBdr>
              <w:divsChild>
                <w:div w:id="1958024538">
                  <w:marLeft w:val="0"/>
                  <w:marRight w:val="0"/>
                  <w:marTop w:val="0"/>
                  <w:marBottom w:val="0"/>
                  <w:divBdr>
                    <w:top w:val="none" w:sz="0" w:space="0" w:color="auto"/>
                    <w:left w:val="none" w:sz="0" w:space="0" w:color="auto"/>
                    <w:bottom w:val="none" w:sz="0" w:space="0" w:color="auto"/>
                    <w:right w:val="none" w:sz="0" w:space="0" w:color="auto"/>
                  </w:divBdr>
                  <w:divsChild>
                    <w:div w:id="135688323">
                      <w:marLeft w:val="0"/>
                      <w:marRight w:val="0"/>
                      <w:marTop w:val="0"/>
                      <w:marBottom w:val="0"/>
                      <w:divBdr>
                        <w:top w:val="none" w:sz="0" w:space="0" w:color="auto"/>
                        <w:left w:val="none" w:sz="0" w:space="0" w:color="auto"/>
                        <w:bottom w:val="none" w:sz="0" w:space="0" w:color="auto"/>
                        <w:right w:val="none" w:sz="0" w:space="0" w:color="auto"/>
                      </w:divBdr>
                      <w:divsChild>
                        <w:div w:id="1537501532">
                          <w:marLeft w:val="2391"/>
                          <w:marRight w:val="0"/>
                          <w:marTop w:val="0"/>
                          <w:marBottom w:val="0"/>
                          <w:divBdr>
                            <w:top w:val="none" w:sz="0" w:space="0" w:color="auto"/>
                            <w:left w:val="none" w:sz="0" w:space="0" w:color="auto"/>
                            <w:bottom w:val="none" w:sz="0" w:space="0" w:color="auto"/>
                            <w:right w:val="none" w:sz="0" w:space="0" w:color="auto"/>
                          </w:divBdr>
                          <w:divsChild>
                            <w:div w:id="1783693808">
                              <w:marLeft w:val="0"/>
                              <w:marRight w:val="0"/>
                              <w:marTop w:val="0"/>
                              <w:marBottom w:val="0"/>
                              <w:divBdr>
                                <w:top w:val="none" w:sz="0" w:space="0" w:color="auto"/>
                                <w:left w:val="none" w:sz="0" w:space="0" w:color="auto"/>
                                <w:bottom w:val="none" w:sz="0" w:space="0" w:color="auto"/>
                                <w:right w:val="none" w:sz="0" w:space="0" w:color="auto"/>
                              </w:divBdr>
                              <w:divsChild>
                                <w:div w:id="505756419">
                                  <w:marLeft w:val="0"/>
                                  <w:marRight w:val="0"/>
                                  <w:marTop w:val="0"/>
                                  <w:marBottom w:val="0"/>
                                  <w:divBdr>
                                    <w:top w:val="none" w:sz="0" w:space="0" w:color="auto"/>
                                    <w:left w:val="none" w:sz="0" w:space="0" w:color="auto"/>
                                    <w:bottom w:val="none" w:sz="0" w:space="0" w:color="auto"/>
                                    <w:right w:val="none" w:sz="0" w:space="0" w:color="auto"/>
                                  </w:divBdr>
                                  <w:divsChild>
                                    <w:div w:id="825972709">
                                      <w:marLeft w:val="0"/>
                                      <w:marRight w:val="0"/>
                                      <w:marTop w:val="0"/>
                                      <w:marBottom w:val="0"/>
                                      <w:divBdr>
                                        <w:top w:val="none" w:sz="0" w:space="0" w:color="auto"/>
                                        <w:left w:val="none" w:sz="0" w:space="0" w:color="auto"/>
                                        <w:bottom w:val="none" w:sz="0" w:space="0" w:color="auto"/>
                                        <w:right w:val="none" w:sz="0" w:space="0" w:color="auto"/>
                                      </w:divBdr>
                                      <w:divsChild>
                                        <w:div w:id="1906573935">
                                          <w:marLeft w:val="0"/>
                                          <w:marRight w:val="0"/>
                                          <w:marTop w:val="0"/>
                                          <w:marBottom w:val="0"/>
                                          <w:divBdr>
                                            <w:top w:val="none" w:sz="0" w:space="0" w:color="auto"/>
                                            <w:left w:val="none" w:sz="0" w:space="0" w:color="auto"/>
                                            <w:bottom w:val="none" w:sz="0" w:space="0" w:color="auto"/>
                                            <w:right w:val="none" w:sz="0" w:space="0" w:color="auto"/>
                                          </w:divBdr>
                                        </w:div>
                                        <w:div w:id="1941638855">
                                          <w:marLeft w:val="0"/>
                                          <w:marRight w:val="0"/>
                                          <w:marTop w:val="0"/>
                                          <w:marBottom w:val="0"/>
                                          <w:divBdr>
                                            <w:top w:val="none" w:sz="0" w:space="0" w:color="auto"/>
                                            <w:left w:val="none" w:sz="0" w:space="0" w:color="auto"/>
                                            <w:bottom w:val="none" w:sz="0" w:space="0" w:color="auto"/>
                                            <w:right w:val="none" w:sz="0" w:space="0" w:color="auto"/>
                                          </w:divBdr>
                                        </w:div>
                                        <w:div w:id="2024088732">
                                          <w:marLeft w:val="0"/>
                                          <w:marRight w:val="0"/>
                                          <w:marTop w:val="0"/>
                                          <w:marBottom w:val="0"/>
                                          <w:divBdr>
                                            <w:top w:val="none" w:sz="0" w:space="0" w:color="auto"/>
                                            <w:left w:val="none" w:sz="0" w:space="0" w:color="auto"/>
                                            <w:bottom w:val="none" w:sz="0" w:space="0" w:color="auto"/>
                                            <w:right w:val="none" w:sz="0" w:space="0" w:color="auto"/>
                                          </w:divBdr>
                                        </w:div>
                                        <w:div w:id="2000498352">
                                          <w:marLeft w:val="0"/>
                                          <w:marRight w:val="0"/>
                                          <w:marTop w:val="0"/>
                                          <w:marBottom w:val="0"/>
                                          <w:divBdr>
                                            <w:top w:val="none" w:sz="0" w:space="0" w:color="auto"/>
                                            <w:left w:val="none" w:sz="0" w:space="0" w:color="auto"/>
                                            <w:bottom w:val="none" w:sz="0" w:space="0" w:color="auto"/>
                                            <w:right w:val="none" w:sz="0" w:space="0" w:color="auto"/>
                                          </w:divBdr>
                                        </w:div>
                                        <w:div w:id="1008797616">
                                          <w:marLeft w:val="0"/>
                                          <w:marRight w:val="0"/>
                                          <w:marTop w:val="0"/>
                                          <w:marBottom w:val="0"/>
                                          <w:divBdr>
                                            <w:top w:val="none" w:sz="0" w:space="0" w:color="auto"/>
                                            <w:left w:val="none" w:sz="0" w:space="0" w:color="auto"/>
                                            <w:bottom w:val="none" w:sz="0" w:space="0" w:color="auto"/>
                                            <w:right w:val="none" w:sz="0" w:space="0" w:color="auto"/>
                                          </w:divBdr>
                                        </w:div>
                                        <w:div w:id="84691314">
                                          <w:marLeft w:val="0"/>
                                          <w:marRight w:val="0"/>
                                          <w:marTop w:val="0"/>
                                          <w:marBottom w:val="0"/>
                                          <w:divBdr>
                                            <w:top w:val="none" w:sz="0" w:space="0" w:color="auto"/>
                                            <w:left w:val="none" w:sz="0" w:space="0" w:color="auto"/>
                                            <w:bottom w:val="none" w:sz="0" w:space="0" w:color="auto"/>
                                            <w:right w:val="none" w:sz="0" w:space="0" w:color="auto"/>
                                          </w:divBdr>
                                        </w:div>
                                        <w:div w:id="3868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36398">
      <w:bodyDiv w:val="1"/>
      <w:marLeft w:val="0"/>
      <w:marRight w:val="0"/>
      <w:marTop w:val="0"/>
      <w:marBottom w:val="0"/>
      <w:divBdr>
        <w:top w:val="none" w:sz="0" w:space="0" w:color="auto"/>
        <w:left w:val="none" w:sz="0" w:space="0" w:color="auto"/>
        <w:bottom w:val="none" w:sz="0" w:space="0" w:color="auto"/>
        <w:right w:val="none" w:sz="0" w:space="0" w:color="auto"/>
      </w:divBdr>
      <w:divsChild>
        <w:div w:id="59790461">
          <w:marLeft w:val="0"/>
          <w:marRight w:val="0"/>
          <w:marTop w:val="0"/>
          <w:marBottom w:val="0"/>
          <w:divBdr>
            <w:top w:val="none" w:sz="0" w:space="0" w:color="auto"/>
            <w:left w:val="none" w:sz="0" w:space="0" w:color="auto"/>
            <w:bottom w:val="none" w:sz="0" w:space="0" w:color="auto"/>
            <w:right w:val="none" w:sz="0" w:space="0" w:color="auto"/>
          </w:divBdr>
          <w:divsChild>
            <w:div w:id="317924865">
              <w:marLeft w:val="0"/>
              <w:marRight w:val="0"/>
              <w:marTop w:val="0"/>
              <w:marBottom w:val="0"/>
              <w:divBdr>
                <w:top w:val="none" w:sz="0" w:space="0" w:color="auto"/>
                <w:left w:val="none" w:sz="0" w:space="0" w:color="auto"/>
                <w:bottom w:val="none" w:sz="0" w:space="0" w:color="auto"/>
                <w:right w:val="none" w:sz="0" w:space="0" w:color="auto"/>
              </w:divBdr>
              <w:divsChild>
                <w:div w:id="669213560">
                  <w:marLeft w:val="0"/>
                  <w:marRight w:val="0"/>
                  <w:marTop w:val="0"/>
                  <w:marBottom w:val="0"/>
                  <w:divBdr>
                    <w:top w:val="single" w:sz="6" w:space="20" w:color="D7D7D7"/>
                    <w:left w:val="single" w:sz="6" w:space="20" w:color="D7D7D7"/>
                    <w:bottom w:val="single" w:sz="6" w:space="27" w:color="D7D7D7"/>
                    <w:right w:val="single" w:sz="6" w:space="20" w:color="D7D7D7"/>
                  </w:divBdr>
                  <w:divsChild>
                    <w:div w:id="866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4581">
      <w:bodyDiv w:val="1"/>
      <w:marLeft w:val="0"/>
      <w:marRight w:val="0"/>
      <w:marTop w:val="0"/>
      <w:marBottom w:val="0"/>
      <w:divBdr>
        <w:top w:val="none" w:sz="0" w:space="0" w:color="auto"/>
        <w:left w:val="none" w:sz="0" w:space="0" w:color="auto"/>
        <w:bottom w:val="none" w:sz="0" w:space="0" w:color="auto"/>
        <w:right w:val="none" w:sz="0" w:space="0" w:color="auto"/>
      </w:divBdr>
      <w:divsChild>
        <w:div w:id="1796751464">
          <w:marLeft w:val="0"/>
          <w:marRight w:val="0"/>
          <w:marTop w:val="0"/>
          <w:marBottom w:val="0"/>
          <w:divBdr>
            <w:top w:val="none" w:sz="0" w:space="0" w:color="auto"/>
            <w:left w:val="none" w:sz="0" w:space="0" w:color="auto"/>
            <w:bottom w:val="none" w:sz="0" w:space="0" w:color="auto"/>
            <w:right w:val="none" w:sz="0" w:space="0" w:color="auto"/>
          </w:divBdr>
          <w:divsChild>
            <w:div w:id="1250383414">
              <w:marLeft w:val="0"/>
              <w:marRight w:val="0"/>
              <w:marTop w:val="0"/>
              <w:marBottom w:val="0"/>
              <w:divBdr>
                <w:top w:val="none" w:sz="0" w:space="0" w:color="auto"/>
                <w:left w:val="none" w:sz="0" w:space="0" w:color="auto"/>
                <w:bottom w:val="none" w:sz="0" w:space="0" w:color="auto"/>
                <w:right w:val="none" w:sz="0" w:space="0" w:color="auto"/>
              </w:divBdr>
              <w:divsChild>
                <w:div w:id="239297922">
                  <w:marLeft w:val="0"/>
                  <w:marRight w:val="0"/>
                  <w:marTop w:val="0"/>
                  <w:marBottom w:val="0"/>
                  <w:divBdr>
                    <w:top w:val="single" w:sz="6" w:space="20" w:color="D7D7D7"/>
                    <w:left w:val="single" w:sz="6" w:space="20" w:color="D7D7D7"/>
                    <w:bottom w:val="single" w:sz="6" w:space="27" w:color="D7D7D7"/>
                    <w:right w:val="single" w:sz="6" w:space="20" w:color="D7D7D7"/>
                  </w:divBdr>
                  <w:divsChild>
                    <w:div w:id="873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4102">
      <w:bodyDiv w:val="1"/>
      <w:marLeft w:val="0"/>
      <w:marRight w:val="0"/>
      <w:marTop w:val="0"/>
      <w:marBottom w:val="0"/>
      <w:divBdr>
        <w:top w:val="none" w:sz="0" w:space="0" w:color="auto"/>
        <w:left w:val="none" w:sz="0" w:space="0" w:color="auto"/>
        <w:bottom w:val="none" w:sz="0" w:space="0" w:color="auto"/>
        <w:right w:val="none" w:sz="0" w:space="0" w:color="auto"/>
      </w:divBdr>
      <w:divsChild>
        <w:div w:id="48656318">
          <w:marLeft w:val="0"/>
          <w:marRight w:val="0"/>
          <w:marTop w:val="0"/>
          <w:marBottom w:val="0"/>
          <w:divBdr>
            <w:top w:val="none" w:sz="0" w:space="0" w:color="auto"/>
            <w:left w:val="none" w:sz="0" w:space="0" w:color="auto"/>
            <w:bottom w:val="none" w:sz="0" w:space="0" w:color="auto"/>
            <w:right w:val="none" w:sz="0" w:space="0" w:color="auto"/>
          </w:divBdr>
          <w:divsChild>
            <w:div w:id="317463584">
              <w:marLeft w:val="2309"/>
              <w:marRight w:val="36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wsocietysa.asn.au/LSSA/Lawyers/Ethics_and_Practice/ExternalExami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4FB163ABCE47A29E3253669CD8B1" ma:contentTypeVersion="0" ma:contentTypeDescription="Create a new document." ma:contentTypeScope="" ma:versionID="ce56d01a56b49f81565c9c0b73f4f4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3D5022-DB38-42C0-942C-051963B65FD9}">
  <ds:schemaRefs>
    <ds:schemaRef ds:uri="http://schemas.microsoft.com/sharepoint/v3/contenttype/forms"/>
  </ds:schemaRefs>
</ds:datastoreItem>
</file>

<file path=customXml/itemProps2.xml><?xml version="1.0" encoding="utf-8"?>
<ds:datastoreItem xmlns:ds="http://schemas.openxmlformats.org/officeDocument/2006/customXml" ds:itemID="{6892D8CD-88B7-4D3A-821F-8BB86AFEA545}">
  <ds:schemaRefs>
    <ds:schemaRef ds:uri="http://schemas.microsoft.com/office/2006/metadata/properties"/>
  </ds:schemaRefs>
</ds:datastoreItem>
</file>

<file path=customXml/itemProps3.xml><?xml version="1.0" encoding="utf-8"?>
<ds:datastoreItem xmlns:ds="http://schemas.openxmlformats.org/officeDocument/2006/customXml" ds:itemID="{2C1ECA01-44FA-4840-BF58-1404B811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1312</Words>
  <Characters>7480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Incorporated Associations SA</vt:lpstr>
    </vt:vector>
  </TitlesOfParts>
  <Company>IPA</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reece.agland</dc:creator>
  <cp:lastModifiedBy>Linh Le</cp:lastModifiedBy>
  <cp:revision>8</cp:revision>
  <dcterms:created xsi:type="dcterms:W3CDTF">2015-10-13T04:36:00Z</dcterms:created>
  <dcterms:modified xsi:type="dcterms:W3CDTF">2017-06-19T04:53:00Z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0x01010027F34FB163ABCE47A29E3253669CD8B1</vt:lpwstr>
  </property>
</Properties>
</file>