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9638"/>
      </w:tblGrid>
      <w:tr w:rsidR="002F11B6" w:rsidRPr="00633A94" w:rsidTr="004248A5">
        <w:tc>
          <w:tcPr>
            <w:tcW w:w="9828" w:type="dxa"/>
            <w:shd w:val="clear" w:color="auto" w:fill="404040"/>
            <w:vAlign w:val="center"/>
          </w:tcPr>
          <w:p w:rsidR="002F11B6" w:rsidRPr="008560ED" w:rsidRDefault="00000DBE" w:rsidP="00F86D41">
            <w:pPr>
              <w:pStyle w:val="Heading1"/>
              <w:overflowPunct w:val="0"/>
              <w:autoSpaceDE w:val="0"/>
              <w:autoSpaceDN w:val="0"/>
              <w:adjustRightInd w:val="0"/>
              <w:spacing w:after="120"/>
              <w:textAlignment w:val="baseline"/>
              <w:rPr>
                <w:rFonts w:cs="Arial"/>
                <w:bCs w:val="0"/>
                <w:color w:val="FFFFFF"/>
                <w:kern w:val="28"/>
                <w:sz w:val="28"/>
                <w:szCs w:val="28"/>
              </w:rPr>
            </w:pPr>
            <w:bookmarkStart w:id="0" w:name="_GoBack"/>
            <w:bookmarkEnd w:id="0"/>
            <w:r w:rsidRPr="008560ED">
              <w:rPr>
                <w:rFonts w:cs="Arial"/>
                <w:bCs w:val="0"/>
                <w:color w:val="FFFFFF"/>
                <w:kern w:val="28"/>
                <w:sz w:val="28"/>
                <w:szCs w:val="28"/>
              </w:rPr>
              <w:t>201</w:t>
            </w:r>
            <w:r w:rsidR="00F86D41">
              <w:rPr>
                <w:rFonts w:cs="Arial"/>
                <w:bCs w:val="0"/>
                <w:color w:val="FFFFFF"/>
                <w:kern w:val="28"/>
                <w:sz w:val="28"/>
                <w:szCs w:val="28"/>
              </w:rPr>
              <w:t>5</w:t>
            </w:r>
            <w:r w:rsidRPr="008560ED">
              <w:rPr>
                <w:rFonts w:cs="Arial"/>
                <w:bCs w:val="0"/>
                <w:color w:val="FFFFFF"/>
                <w:kern w:val="28"/>
                <w:sz w:val="28"/>
                <w:szCs w:val="28"/>
              </w:rPr>
              <w:t xml:space="preserve"> </w:t>
            </w:r>
            <w:r w:rsidR="00D820EA" w:rsidRPr="008560ED">
              <w:rPr>
                <w:rFonts w:cs="Arial"/>
                <w:bCs w:val="0"/>
                <w:color w:val="FFFFFF"/>
                <w:kern w:val="28"/>
                <w:sz w:val="28"/>
                <w:szCs w:val="28"/>
              </w:rPr>
              <w:t xml:space="preserve">Individual Tax Return Checklist </w:t>
            </w:r>
          </w:p>
        </w:tc>
      </w:tr>
    </w:tbl>
    <w:p w:rsidR="002F11B6" w:rsidRPr="00633A94" w:rsidRDefault="002F11B6">
      <w:pPr>
        <w:numPr>
          <w:ilvl w:val="12"/>
          <w:numId w:val="0"/>
        </w:numPr>
        <w:spacing w:after="120"/>
        <w:rPr>
          <w:rFonts w:cs="Arial"/>
          <w:szCs w:val="20"/>
        </w:rPr>
      </w:pPr>
    </w:p>
    <w:p w:rsidR="002F11B6" w:rsidRPr="00633A94" w:rsidRDefault="00D820EA">
      <w:pPr>
        <w:numPr>
          <w:ilvl w:val="12"/>
          <w:numId w:val="0"/>
        </w:numPr>
        <w:rPr>
          <w:rFonts w:cs="Arial"/>
          <w:szCs w:val="20"/>
        </w:rPr>
      </w:pPr>
      <w:r w:rsidRPr="00D820EA">
        <w:rPr>
          <w:rFonts w:cs="Arial"/>
          <w:szCs w:val="20"/>
        </w:rPr>
        <w:t>The following income tax return checklist should be completed in conjunction with the preparation of tax reconciliation return work papers. The checklist provides a general list of major issues that should be addressed. (The checklist is not designed to be an exhaustive list of all issues that may warrant consideration.)</w:t>
      </w:r>
    </w:p>
    <w:p w:rsidR="002F11B6" w:rsidRPr="00633A94" w:rsidRDefault="002F11B6">
      <w:pPr>
        <w:rPr>
          <w:rFonts w:cs="Arial"/>
          <w:szCs w:val="20"/>
        </w:rPr>
      </w:pPr>
    </w:p>
    <w:tbl>
      <w:tblPr>
        <w:tblW w:w="9828" w:type="dxa"/>
        <w:tblLook w:val="01E0" w:firstRow="1" w:lastRow="1" w:firstColumn="1" w:lastColumn="1" w:noHBand="0" w:noVBand="0"/>
      </w:tblPr>
      <w:tblGrid>
        <w:gridCol w:w="1548"/>
        <w:gridCol w:w="8280"/>
      </w:tblGrid>
      <w:tr w:rsidR="002F11B6" w:rsidRPr="00633A94">
        <w:tc>
          <w:tcPr>
            <w:tcW w:w="1548" w:type="dxa"/>
            <w:tcMar>
              <w:bottom w:w="113" w:type="dxa"/>
            </w:tcMar>
          </w:tcPr>
          <w:p w:rsidR="002F11B6" w:rsidRPr="00633A94" w:rsidRDefault="00D820EA">
            <w:pPr>
              <w:rPr>
                <w:rFonts w:cs="Arial"/>
                <w:b/>
                <w:color w:val="FFFFFF"/>
                <w:szCs w:val="20"/>
              </w:rPr>
            </w:pPr>
            <w:r w:rsidRPr="00D820EA">
              <w:rPr>
                <w:rFonts w:cs="Arial"/>
                <w:b/>
                <w:szCs w:val="20"/>
              </w:rPr>
              <w:t>Step 1</w:t>
            </w:r>
          </w:p>
        </w:tc>
        <w:tc>
          <w:tcPr>
            <w:tcW w:w="8280" w:type="dxa"/>
            <w:vAlign w:val="center"/>
          </w:tcPr>
          <w:p w:rsidR="002F11B6" w:rsidRPr="00633A94" w:rsidRDefault="00D820EA">
            <w:pPr>
              <w:rPr>
                <w:rFonts w:cs="Arial"/>
                <w:b/>
                <w:color w:val="FFFFFF"/>
                <w:szCs w:val="20"/>
              </w:rPr>
            </w:pPr>
            <w:r w:rsidRPr="00D820EA">
              <w:rPr>
                <w:rFonts w:cs="Arial"/>
                <w:szCs w:val="20"/>
              </w:rPr>
              <w:t>Obtain a copy of the Prior Year Return</w:t>
            </w:r>
            <w:r w:rsidR="006679A2">
              <w:rPr>
                <w:rFonts w:cs="Arial"/>
                <w:szCs w:val="20"/>
              </w:rPr>
              <w:t xml:space="preserve"> including all work papers and assessment notice</w:t>
            </w:r>
            <w:r w:rsidRPr="00D820EA">
              <w:rPr>
                <w:rFonts w:cs="Arial"/>
                <w:szCs w:val="20"/>
              </w:rPr>
              <w:t>.</w:t>
            </w:r>
          </w:p>
        </w:tc>
      </w:tr>
      <w:tr w:rsidR="002F11B6" w:rsidRPr="00633A94">
        <w:tc>
          <w:tcPr>
            <w:tcW w:w="1548" w:type="dxa"/>
            <w:tcMar>
              <w:bottom w:w="113" w:type="dxa"/>
            </w:tcMar>
          </w:tcPr>
          <w:p w:rsidR="002F11B6" w:rsidRPr="00633A94" w:rsidRDefault="009A3B7F">
            <w:pPr>
              <w:rPr>
                <w:rFonts w:cs="Arial"/>
                <w:b/>
                <w:color w:val="FFFFFF"/>
                <w:szCs w:val="20"/>
              </w:rPr>
            </w:pPr>
            <w:r w:rsidRPr="009A3B7F">
              <w:rPr>
                <w:rFonts w:cs="Arial"/>
                <w:b/>
                <w:szCs w:val="20"/>
              </w:rPr>
              <w:t>Step 2</w:t>
            </w:r>
          </w:p>
        </w:tc>
        <w:tc>
          <w:tcPr>
            <w:tcW w:w="8280" w:type="dxa"/>
            <w:vAlign w:val="center"/>
          </w:tcPr>
          <w:p w:rsidR="002F11B6" w:rsidRPr="00633A94" w:rsidRDefault="00D820EA">
            <w:pPr>
              <w:rPr>
                <w:rFonts w:cs="Arial"/>
                <w:b/>
                <w:color w:val="FFFFFF"/>
                <w:szCs w:val="20"/>
              </w:rPr>
            </w:pPr>
            <w:r w:rsidRPr="00D820EA">
              <w:rPr>
                <w:rFonts w:cs="Arial"/>
                <w:szCs w:val="20"/>
              </w:rPr>
              <w:t>Confirm that the front cover of Prior Year Return has not altered, including bank account details.</w:t>
            </w:r>
          </w:p>
        </w:tc>
      </w:tr>
      <w:tr w:rsidR="002F11B6" w:rsidRPr="00633A94">
        <w:tc>
          <w:tcPr>
            <w:tcW w:w="1548" w:type="dxa"/>
            <w:tcMar>
              <w:bottom w:w="113" w:type="dxa"/>
            </w:tcMar>
          </w:tcPr>
          <w:p w:rsidR="002F11B6" w:rsidRPr="00633A94" w:rsidRDefault="009A3B7F">
            <w:pPr>
              <w:rPr>
                <w:rFonts w:cs="Arial"/>
                <w:b/>
                <w:color w:val="FFFFFF"/>
                <w:szCs w:val="20"/>
              </w:rPr>
            </w:pPr>
            <w:r w:rsidRPr="009A3B7F">
              <w:rPr>
                <w:rFonts w:cs="Arial"/>
                <w:b/>
                <w:szCs w:val="20"/>
              </w:rPr>
              <w:t>Step 3</w:t>
            </w:r>
          </w:p>
        </w:tc>
        <w:tc>
          <w:tcPr>
            <w:tcW w:w="8280" w:type="dxa"/>
            <w:vAlign w:val="center"/>
          </w:tcPr>
          <w:p w:rsidR="002F11B6" w:rsidRPr="00633A94" w:rsidRDefault="00D820EA">
            <w:pPr>
              <w:rPr>
                <w:rFonts w:cs="Arial"/>
                <w:b/>
                <w:color w:val="FFFFFF"/>
                <w:szCs w:val="20"/>
              </w:rPr>
            </w:pPr>
            <w:r w:rsidRPr="00D820EA">
              <w:rPr>
                <w:rFonts w:cs="Arial"/>
                <w:szCs w:val="20"/>
              </w:rPr>
              <w:t>Complete the Checklist.</w:t>
            </w:r>
          </w:p>
        </w:tc>
      </w:tr>
      <w:tr w:rsidR="002F11B6" w:rsidRPr="00633A94">
        <w:tc>
          <w:tcPr>
            <w:tcW w:w="9828" w:type="dxa"/>
            <w:gridSpan w:val="2"/>
            <w:tcMar>
              <w:bottom w:w="113" w:type="dxa"/>
            </w:tcMar>
            <w:vAlign w:val="center"/>
          </w:tcPr>
          <w:p w:rsidR="002F11B6" w:rsidRPr="00633A94" w:rsidRDefault="002F11B6">
            <w:pPr>
              <w:pStyle w:val="Heading3"/>
              <w:rPr>
                <w:rFonts w:cs="Arial"/>
                <w:smallCaps w:val="0"/>
                <w:szCs w:val="20"/>
              </w:rPr>
            </w:pPr>
          </w:p>
        </w:tc>
      </w:tr>
      <w:tr w:rsidR="008F3A04" w:rsidRPr="00633A94" w:rsidTr="008F3A04">
        <w:tc>
          <w:tcPr>
            <w:tcW w:w="9828" w:type="dxa"/>
            <w:gridSpan w:val="2"/>
            <w:tcMar>
              <w:bottom w:w="113" w:type="dxa"/>
            </w:tcMar>
          </w:tcPr>
          <w:p w:rsidR="00603329" w:rsidRDefault="009A3B7F">
            <w:pPr>
              <w:rPr>
                <w:rFonts w:cs="Arial"/>
                <w:smallCaps/>
                <w:szCs w:val="20"/>
              </w:rPr>
            </w:pPr>
            <w:r w:rsidRPr="009A3B7F">
              <w:rPr>
                <w:rStyle w:val="Boldemphasis"/>
              </w:rPr>
              <w:t>Instructions</w:t>
            </w:r>
            <w:r w:rsidR="008F3A04" w:rsidRPr="00833816">
              <w:rPr>
                <w:rStyle w:val="Boldemphasis"/>
              </w:rPr>
              <w:t>:</w:t>
            </w:r>
            <w:r w:rsidR="008F3A04" w:rsidRPr="000D7CC8">
              <w:t xml:space="preserve"> </w:t>
            </w:r>
            <w:r w:rsidRPr="009A3B7F">
              <w:t>Where relevant, double-click on the check boxes and select “Checked</w:t>
            </w:r>
            <w:r w:rsidR="008F3A04">
              <w:rPr>
                <w:rFonts w:cs="Arial"/>
                <w:szCs w:val="20"/>
              </w:rPr>
              <w:t>”</w:t>
            </w:r>
          </w:p>
        </w:tc>
      </w:tr>
      <w:tr w:rsidR="008F3A04" w:rsidRPr="00633A94">
        <w:tc>
          <w:tcPr>
            <w:tcW w:w="1548" w:type="dxa"/>
            <w:tcMar>
              <w:bottom w:w="113" w:type="dxa"/>
            </w:tcMar>
          </w:tcPr>
          <w:p w:rsidR="00603329" w:rsidRDefault="00603329">
            <w:pPr>
              <w:rPr>
                <w:rFonts w:cs="Arial"/>
                <w:color w:val="FFFFFF"/>
                <w:szCs w:val="20"/>
              </w:rPr>
            </w:pPr>
          </w:p>
        </w:tc>
        <w:tc>
          <w:tcPr>
            <w:tcW w:w="8280" w:type="dxa"/>
          </w:tcPr>
          <w:p w:rsidR="00D820EA" w:rsidRDefault="00D820EA">
            <w:pPr>
              <w:rPr>
                <w:rFonts w:cs="Arial"/>
                <w:color w:val="FFFFFF"/>
                <w:szCs w:val="20"/>
              </w:rPr>
            </w:pPr>
          </w:p>
        </w:tc>
      </w:tr>
      <w:tr w:rsidR="008F3A04" w:rsidRPr="00633A94">
        <w:tc>
          <w:tcPr>
            <w:tcW w:w="1548" w:type="dxa"/>
            <w:tcMar>
              <w:bottom w:w="113" w:type="dxa"/>
            </w:tcMar>
          </w:tcPr>
          <w:p w:rsidR="008F3A04" w:rsidRPr="00633A94" w:rsidRDefault="008F3A04">
            <w:pPr>
              <w:rPr>
                <w:rFonts w:cs="Arial"/>
                <w:b/>
                <w:szCs w:val="20"/>
              </w:rPr>
            </w:pPr>
          </w:p>
        </w:tc>
        <w:tc>
          <w:tcPr>
            <w:tcW w:w="8280" w:type="dxa"/>
          </w:tcPr>
          <w:p w:rsidR="008F3A04" w:rsidRPr="00633A94" w:rsidRDefault="008F3A04">
            <w:pPr>
              <w:rPr>
                <w:rFonts w:cs="Arial"/>
                <w:szCs w:val="20"/>
              </w:rPr>
            </w:pPr>
          </w:p>
        </w:tc>
      </w:tr>
      <w:tr w:rsidR="008F3A04" w:rsidRPr="00633A94">
        <w:trPr>
          <w:trHeight w:val="844"/>
        </w:trPr>
        <w:tc>
          <w:tcPr>
            <w:tcW w:w="1548" w:type="dxa"/>
            <w:tcMar>
              <w:bottom w:w="113" w:type="dxa"/>
            </w:tcMar>
          </w:tcPr>
          <w:p w:rsidR="008F3A04" w:rsidRPr="00633A94" w:rsidRDefault="008F3A04">
            <w:pPr>
              <w:rPr>
                <w:rFonts w:cs="Arial"/>
                <w:b/>
                <w:color w:val="FFFFFF"/>
                <w:szCs w:val="20"/>
              </w:rPr>
            </w:pPr>
          </w:p>
        </w:tc>
        <w:tc>
          <w:tcPr>
            <w:tcW w:w="8280" w:type="dxa"/>
          </w:tcPr>
          <w:p w:rsidR="008F3A04" w:rsidRPr="00633A94" w:rsidRDefault="008F3A04">
            <w:pPr>
              <w:rPr>
                <w:rFonts w:cs="Arial"/>
                <w:b/>
                <w:color w:val="FFFFFF"/>
                <w:szCs w:val="20"/>
              </w:rPr>
            </w:pPr>
          </w:p>
        </w:tc>
      </w:tr>
    </w:tbl>
    <w:p w:rsidR="002F11B6" w:rsidRPr="00633A94" w:rsidRDefault="002F11B6">
      <w:pPr>
        <w:rPr>
          <w:rFonts w:cs="Arial"/>
          <w:szCs w:val="20"/>
        </w:rPr>
      </w:pPr>
    </w:p>
    <w:p w:rsidR="002F11B6" w:rsidRPr="00633A94" w:rsidRDefault="00D820EA">
      <w:pPr>
        <w:rPr>
          <w:rFonts w:cs="Arial"/>
          <w:szCs w:val="20"/>
        </w:rPr>
      </w:pPr>
      <w:r w:rsidRPr="00D820EA">
        <w:rPr>
          <w:rFonts w:cs="Arial"/>
          <w:szCs w:val="20"/>
        </w:rPr>
        <w:br w:type="page"/>
      </w:r>
    </w:p>
    <w:tbl>
      <w:tblPr>
        <w:tblW w:w="10712" w:type="dxa"/>
        <w:tblInd w:w="-68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FFFFFF"/>
        <w:tblLayout w:type="fixed"/>
        <w:tblLook w:val="01E0" w:firstRow="1" w:lastRow="1" w:firstColumn="1" w:lastColumn="1" w:noHBand="0" w:noVBand="0"/>
      </w:tblPr>
      <w:tblGrid>
        <w:gridCol w:w="1498"/>
        <w:gridCol w:w="5670"/>
        <w:gridCol w:w="1275"/>
        <w:gridCol w:w="1135"/>
        <w:gridCol w:w="1134"/>
      </w:tblGrid>
      <w:tr w:rsidR="009650E2" w:rsidRPr="00633A94" w:rsidTr="00B257C4">
        <w:trPr>
          <w:cantSplit/>
          <w:tblHeader/>
        </w:trPr>
        <w:tc>
          <w:tcPr>
            <w:tcW w:w="1498" w:type="dxa"/>
            <w:tcBorders>
              <w:top w:val="single" w:sz="4" w:space="0" w:color="auto"/>
              <w:left w:val="single" w:sz="4" w:space="0" w:color="auto"/>
              <w:bottom w:val="single" w:sz="4" w:space="0" w:color="auto"/>
              <w:right w:val="single" w:sz="4" w:space="0" w:color="auto"/>
            </w:tcBorders>
            <w:shd w:val="clear" w:color="auto" w:fill="404040"/>
            <w:tcMar>
              <w:bottom w:w="113" w:type="dxa"/>
            </w:tcMar>
            <w:vAlign w:val="center"/>
          </w:tcPr>
          <w:p w:rsidR="00603329" w:rsidRDefault="00D820EA">
            <w:pPr>
              <w:rPr>
                <w:color w:val="FFFFFF"/>
              </w:rPr>
            </w:pPr>
            <w:r w:rsidRPr="00D820EA">
              <w:rPr>
                <w:b/>
                <w:color w:val="FFFFFF"/>
              </w:rPr>
              <w:lastRenderedPageBreak/>
              <w:t>Income Tax Return Reference</w:t>
            </w:r>
          </w:p>
        </w:tc>
        <w:tc>
          <w:tcPr>
            <w:tcW w:w="5670" w:type="dxa"/>
            <w:tcBorders>
              <w:top w:val="single" w:sz="4" w:space="0" w:color="auto"/>
              <w:left w:val="single" w:sz="4" w:space="0" w:color="auto"/>
              <w:bottom w:val="single" w:sz="4" w:space="0" w:color="auto"/>
              <w:right w:val="single" w:sz="4" w:space="0" w:color="auto"/>
            </w:tcBorders>
            <w:shd w:val="clear" w:color="auto" w:fill="404040"/>
            <w:vAlign w:val="center"/>
          </w:tcPr>
          <w:p w:rsidR="00603329" w:rsidRDefault="00D820EA">
            <w:pPr>
              <w:rPr>
                <w:color w:val="FFFFFF"/>
              </w:rPr>
            </w:pPr>
            <w:r w:rsidRPr="00D820EA">
              <w:rPr>
                <w:b/>
                <w:color w:val="FFFFFF"/>
              </w:rPr>
              <w:t>Section of the Income Tax Return</w:t>
            </w:r>
          </w:p>
        </w:tc>
        <w:tc>
          <w:tcPr>
            <w:tcW w:w="1275" w:type="dxa"/>
            <w:tcBorders>
              <w:top w:val="single" w:sz="4" w:space="0" w:color="auto"/>
              <w:left w:val="single" w:sz="4" w:space="0" w:color="auto"/>
              <w:bottom w:val="single" w:sz="4" w:space="0" w:color="auto"/>
              <w:right w:val="single" w:sz="4" w:space="0" w:color="auto"/>
            </w:tcBorders>
            <w:shd w:val="clear" w:color="auto" w:fill="404040"/>
            <w:vAlign w:val="center"/>
          </w:tcPr>
          <w:p w:rsidR="00603329" w:rsidRDefault="00D820EA">
            <w:pPr>
              <w:jc w:val="center"/>
              <w:rPr>
                <w:color w:val="FFFFFF"/>
              </w:rPr>
            </w:pPr>
            <w:r w:rsidRPr="00D820EA">
              <w:rPr>
                <w:b/>
                <w:color w:val="FFFFFF"/>
              </w:rPr>
              <w:t>Yes</w:t>
            </w:r>
          </w:p>
        </w:tc>
        <w:tc>
          <w:tcPr>
            <w:tcW w:w="1135" w:type="dxa"/>
            <w:tcBorders>
              <w:top w:val="single" w:sz="4" w:space="0" w:color="auto"/>
              <w:left w:val="single" w:sz="4" w:space="0" w:color="auto"/>
              <w:bottom w:val="single" w:sz="4" w:space="0" w:color="auto"/>
              <w:right w:val="single" w:sz="4" w:space="0" w:color="auto"/>
            </w:tcBorders>
            <w:shd w:val="clear" w:color="auto" w:fill="404040"/>
            <w:vAlign w:val="center"/>
          </w:tcPr>
          <w:p w:rsidR="00603329" w:rsidRDefault="00D820EA">
            <w:pPr>
              <w:jc w:val="center"/>
              <w:rPr>
                <w:rFonts w:cs="Arial"/>
                <w:color w:val="FFFFFF"/>
                <w:szCs w:val="20"/>
              </w:rPr>
            </w:pPr>
            <w:r w:rsidRPr="00D820EA">
              <w:rPr>
                <w:rFonts w:cs="Arial"/>
                <w:b/>
                <w:bCs/>
                <w:color w:val="FFFFFF"/>
                <w:szCs w:val="20"/>
              </w:rPr>
              <w:t>No</w:t>
            </w:r>
          </w:p>
        </w:tc>
        <w:tc>
          <w:tcPr>
            <w:tcW w:w="1134" w:type="dxa"/>
            <w:tcBorders>
              <w:top w:val="single" w:sz="4" w:space="0" w:color="auto"/>
              <w:left w:val="single" w:sz="4" w:space="0" w:color="auto"/>
              <w:bottom w:val="single" w:sz="4" w:space="0" w:color="auto"/>
              <w:right w:val="single" w:sz="4" w:space="0" w:color="auto"/>
            </w:tcBorders>
            <w:shd w:val="clear" w:color="auto" w:fill="404040"/>
            <w:vAlign w:val="center"/>
          </w:tcPr>
          <w:p w:rsidR="00603329" w:rsidRDefault="00D820EA">
            <w:pPr>
              <w:jc w:val="center"/>
              <w:rPr>
                <w:rFonts w:cs="Arial"/>
                <w:color w:val="FFFFFF"/>
                <w:szCs w:val="20"/>
              </w:rPr>
            </w:pPr>
            <w:r w:rsidRPr="00D820EA">
              <w:rPr>
                <w:rFonts w:cs="Arial"/>
                <w:b/>
                <w:bCs/>
                <w:color w:val="FFFFFF"/>
                <w:szCs w:val="20"/>
              </w:rPr>
              <w:t>N/A</w:t>
            </w:r>
          </w:p>
        </w:tc>
      </w:tr>
      <w:tr w:rsidR="00633A94" w:rsidRPr="00633A94" w:rsidTr="00B257C4">
        <w:trPr>
          <w:cantSplit/>
        </w:trPr>
        <w:tc>
          <w:tcPr>
            <w:tcW w:w="10712" w:type="dxa"/>
            <w:gridSpan w:val="5"/>
            <w:tcBorders>
              <w:top w:val="single" w:sz="4" w:space="0" w:color="auto"/>
              <w:left w:val="single" w:sz="4" w:space="0" w:color="auto"/>
              <w:bottom w:val="single" w:sz="4" w:space="0" w:color="auto"/>
              <w:right w:val="single" w:sz="4" w:space="0" w:color="auto"/>
            </w:tcBorders>
            <w:shd w:val="clear" w:color="auto" w:fill="404040"/>
            <w:tcMar>
              <w:bottom w:w="113" w:type="dxa"/>
            </w:tcMar>
            <w:vAlign w:val="center"/>
          </w:tcPr>
          <w:p w:rsidR="00D820EA" w:rsidRPr="00D820EA" w:rsidRDefault="00D820EA" w:rsidP="00D820EA">
            <w:pPr>
              <w:rPr>
                <w:b/>
                <w:color w:val="FFFFFF"/>
              </w:rPr>
            </w:pPr>
            <w:r w:rsidRPr="00D820EA">
              <w:rPr>
                <w:b/>
                <w:color w:val="FFFFFF"/>
              </w:rPr>
              <w:t>Income</w:t>
            </w:r>
          </w:p>
        </w:tc>
      </w:tr>
      <w:tr w:rsidR="004248A5"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Pr="00D820EA" w:rsidRDefault="009A3B7F" w:rsidP="00D820EA">
            <w:pPr>
              <w:jc w:val="center"/>
              <w:rPr>
                <w:rFonts w:cs="Arial"/>
                <w:b/>
                <w:bCs/>
                <w:szCs w:val="20"/>
              </w:rPr>
            </w:pPr>
            <w:r w:rsidRPr="009A3B7F">
              <w:rPr>
                <w:rFonts w:cs="Arial"/>
                <w:b/>
                <w:bCs/>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227CFA" w:rsidRPr="00633A94" w:rsidRDefault="00D820EA" w:rsidP="00227CFA">
            <w:pPr>
              <w:pStyle w:val="Table"/>
              <w:rPr>
                <w:rFonts w:cs="Arial"/>
                <w:b/>
                <w:sz w:val="20"/>
                <w:szCs w:val="20"/>
              </w:rPr>
            </w:pPr>
            <w:r w:rsidRPr="00D820EA">
              <w:rPr>
                <w:rFonts w:cs="Arial"/>
                <w:b/>
                <w:sz w:val="20"/>
                <w:szCs w:val="20"/>
              </w:rPr>
              <w:t>Salary or wage</w:t>
            </w:r>
          </w:p>
          <w:p w:rsidR="002F11B6" w:rsidRPr="00633A94" w:rsidRDefault="00D820EA">
            <w:pPr>
              <w:ind w:left="17" w:hanging="17"/>
              <w:rPr>
                <w:rFonts w:cs="Arial"/>
                <w:szCs w:val="20"/>
              </w:rPr>
            </w:pPr>
            <w:r w:rsidRPr="00D820EA">
              <w:rPr>
                <w:rFonts w:cs="Arial"/>
                <w:szCs w:val="20"/>
              </w:rPr>
              <w:t>Obtain and attach PAYG payment summaries</w:t>
            </w:r>
            <w:r w:rsidR="006679A2">
              <w:rPr>
                <w:rFonts w:cs="Arial"/>
                <w:szCs w:val="20"/>
              </w:rPr>
              <w:t xml:space="preserve"> and if applicable paid parental leave payments</w:t>
            </w:r>
            <w:r w:rsidRPr="00D820EA">
              <w:rPr>
                <w:rFonts w:cs="Arial"/>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r>
      <w:tr w:rsidR="004248A5"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Pr="00D820EA" w:rsidRDefault="009A3B7F" w:rsidP="00D820EA">
            <w:pPr>
              <w:jc w:val="center"/>
              <w:rPr>
                <w:rFonts w:cs="Arial"/>
                <w:b/>
                <w:bCs/>
                <w:szCs w:val="20"/>
              </w:rPr>
            </w:pPr>
            <w:r w:rsidRPr="009A3B7F">
              <w:rPr>
                <w:rFonts w:cs="Arial"/>
                <w:b/>
                <w:bCs/>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4248A5" w:rsidRPr="00633A94" w:rsidRDefault="00D820EA" w:rsidP="00227CFA">
            <w:pPr>
              <w:pStyle w:val="Table"/>
              <w:rPr>
                <w:rFonts w:cs="Arial"/>
                <w:b/>
                <w:sz w:val="20"/>
                <w:szCs w:val="20"/>
              </w:rPr>
            </w:pPr>
            <w:r w:rsidRPr="00D820EA">
              <w:rPr>
                <w:rFonts w:cs="Arial"/>
                <w:b/>
                <w:sz w:val="20"/>
                <w:szCs w:val="20"/>
              </w:rPr>
              <w:t>Allowances, earnings, tips, director’s fees etc.</w:t>
            </w:r>
          </w:p>
          <w:p w:rsidR="004248A5" w:rsidRPr="00633A94" w:rsidRDefault="00D820EA">
            <w:pPr>
              <w:rPr>
                <w:rFonts w:cs="Arial"/>
                <w:szCs w:val="20"/>
              </w:rPr>
            </w:pPr>
            <w:r w:rsidRPr="00D820EA">
              <w:rPr>
                <w:rFonts w:cs="Arial"/>
                <w:szCs w:val="20"/>
              </w:rPr>
              <w:t>Receipt of an allowance does not automatically entitle an employee to a deduction for expenditure to which the allowance relates (e.g. tool allowance).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2"/>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3"/>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r>
      <w:tr w:rsidR="004248A5" w:rsidRPr="00633A94" w:rsidTr="00B257C4">
        <w:trPr>
          <w:cantSplit/>
          <w:trHeight w:val="75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Pr="00D820EA" w:rsidRDefault="009A3B7F" w:rsidP="00D820EA">
            <w:pPr>
              <w:jc w:val="center"/>
              <w:rPr>
                <w:rFonts w:cs="Arial"/>
                <w:b/>
                <w:bCs/>
                <w:szCs w:val="20"/>
              </w:rPr>
            </w:pPr>
            <w:r w:rsidRPr="009A3B7F">
              <w:rPr>
                <w:rFonts w:cs="Arial"/>
                <w:b/>
                <w:bCs/>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Pr="00D820EA" w:rsidRDefault="00D820EA" w:rsidP="00D820EA">
            <w:pPr>
              <w:pStyle w:val="Table"/>
              <w:ind w:left="255" w:hanging="255"/>
              <w:rPr>
                <w:rFonts w:cs="Arial"/>
                <w:b/>
                <w:sz w:val="20"/>
                <w:szCs w:val="20"/>
              </w:rPr>
            </w:pPr>
            <w:r w:rsidRPr="00D820EA">
              <w:rPr>
                <w:rFonts w:cs="Arial"/>
                <w:b/>
                <w:sz w:val="20"/>
                <w:szCs w:val="20"/>
              </w:rPr>
              <w:t>Employer lump sum payments</w:t>
            </w:r>
          </w:p>
          <w:p w:rsidR="004248A5" w:rsidRPr="00633A94" w:rsidRDefault="00D820EA">
            <w:pPr>
              <w:ind w:left="17" w:hanging="17"/>
              <w:rPr>
                <w:rFonts w:cs="Arial"/>
                <w:szCs w:val="20"/>
              </w:rPr>
            </w:pPr>
            <w:r w:rsidRPr="00D820EA">
              <w:rPr>
                <w:rFonts w:cs="Arial"/>
                <w:szCs w:val="20"/>
              </w:rPr>
              <w:t>These payments are in respect of unused annual and long service leave paid out on termination of employment. Label A and B of the client’s PAYG payment summary should contain the relevant information. Also, obtain and attach a copy of a statement of termination from the client’s employer.</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r>
      <w:tr w:rsidR="004248A5"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sidRPr="009A3B7F">
              <w:rPr>
                <w:rFonts w:cs="Arial"/>
                <w:b/>
                <w:bCs/>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4248A5" w:rsidRPr="00633A94" w:rsidRDefault="00D820EA" w:rsidP="00227CFA">
            <w:pPr>
              <w:pStyle w:val="Table"/>
              <w:rPr>
                <w:rFonts w:cs="Arial"/>
                <w:b/>
                <w:sz w:val="20"/>
                <w:szCs w:val="20"/>
              </w:rPr>
            </w:pPr>
            <w:r w:rsidRPr="00D820EA">
              <w:rPr>
                <w:rFonts w:cs="Arial"/>
                <w:b/>
                <w:sz w:val="20"/>
                <w:szCs w:val="20"/>
              </w:rPr>
              <w:t>Employment termination payments (ETPs)</w:t>
            </w:r>
          </w:p>
          <w:p w:rsidR="004248A5" w:rsidRPr="00633A94" w:rsidRDefault="00D820EA">
            <w:pPr>
              <w:ind w:left="17" w:hanging="17"/>
              <w:rPr>
                <w:rFonts w:cs="Arial"/>
                <w:szCs w:val="20"/>
              </w:rPr>
            </w:pPr>
            <w:r w:rsidRPr="00D820EA">
              <w:rPr>
                <w:rFonts w:cs="Arial"/>
                <w:szCs w:val="20"/>
              </w:rPr>
              <w:t>Obtain and attach any ETP payment summaries and employer termination statements.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r>
      <w:tr w:rsidR="004248A5"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Pr="00D820EA" w:rsidRDefault="009A3B7F" w:rsidP="00D820EA">
            <w:pPr>
              <w:jc w:val="center"/>
              <w:rPr>
                <w:rFonts w:cs="Arial"/>
                <w:b/>
                <w:bCs/>
                <w:szCs w:val="20"/>
              </w:rPr>
            </w:pPr>
            <w:r w:rsidRPr="009A3B7F">
              <w:rPr>
                <w:rFonts w:cs="Arial"/>
                <w:b/>
                <w:bCs/>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4248A5" w:rsidRPr="00633A94" w:rsidRDefault="00D820EA" w:rsidP="00227CFA">
            <w:pPr>
              <w:pStyle w:val="Table"/>
              <w:rPr>
                <w:rFonts w:cs="Arial"/>
                <w:b/>
                <w:sz w:val="20"/>
                <w:szCs w:val="20"/>
              </w:rPr>
            </w:pPr>
            <w:r w:rsidRPr="00D820EA">
              <w:rPr>
                <w:rFonts w:cs="Arial"/>
                <w:b/>
                <w:sz w:val="20"/>
                <w:szCs w:val="20"/>
              </w:rPr>
              <w:t>Australian Government allowances and payments like Newstart, youth allowance and Austudy payment</w:t>
            </w:r>
          </w:p>
          <w:p w:rsidR="004248A5" w:rsidRDefault="00D820EA">
            <w:pPr>
              <w:rPr>
                <w:rFonts w:cs="Arial"/>
                <w:szCs w:val="20"/>
              </w:rPr>
            </w:pPr>
            <w:r w:rsidRPr="00D820EA">
              <w:rPr>
                <w:rFonts w:cs="Arial"/>
                <w:szCs w:val="20"/>
              </w:rPr>
              <w:t>Provide details of all youth allowances, Newstart, sickness allowance or special benefit, or other educational or training allowances.</w:t>
            </w:r>
          </w:p>
          <w:p w:rsidR="006679A2" w:rsidRPr="00633A94" w:rsidRDefault="006679A2">
            <w:pPr>
              <w:rPr>
                <w:rFonts w:cs="Arial"/>
                <w:szCs w:val="20"/>
              </w:rPr>
            </w:pPr>
            <w:r>
              <w:rPr>
                <w:rFonts w:cs="Arial"/>
                <w:szCs w:val="20"/>
              </w:rPr>
              <w:t>(Note : client not sent a paper copy anymore)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2"/>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3"/>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r>
      <w:tr w:rsidR="004248A5"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Pr="00D820EA" w:rsidRDefault="009A3B7F" w:rsidP="00D820EA">
            <w:pPr>
              <w:jc w:val="center"/>
              <w:rPr>
                <w:rFonts w:cs="Arial"/>
                <w:b/>
                <w:bCs/>
                <w:szCs w:val="20"/>
              </w:rPr>
            </w:pPr>
            <w:r w:rsidRPr="009A3B7F">
              <w:rPr>
                <w:rFonts w:cs="Arial"/>
                <w:b/>
                <w:bCs/>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4248A5" w:rsidRDefault="00D820EA" w:rsidP="00C26A9C">
            <w:pPr>
              <w:rPr>
                <w:rFonts w:cs="Arial"/>
                <w:b/>
                <w:szCs w:val="20"/>
              </w:rPr>
            </w:pPr>
            <w:r w:rsidRPr="00D820EA">
              <w:rPr>
                <w:rFonts w:cs="Arial"/>
                <w:b/>
                <w:szCs w:val="20"/>
              </w:rPr>
              <w:t>Australian Government pensions and other allowances</w:t>
            </w:r>
          </w:p>
          <w:p w:rsidR="006679A2" w:rsidRPr="00633A94" w:rsidRDefault="006679A2" w:rsidP="00C26A9C">
            <w:pPr>
              <w:rPr>
                <w:rFonts w:cs="Arial"/>
                <w:szCs w:val="20"/>
              </w:rPr>
            </w:pPr>
            <w:r>
              <w:rPr>
                <w:rFonts w:cs="Arial"/>
                <w:szCs w:val="20"/>
              </w:rPr>
              <w:t>(Note : client not sent a paper copy anymore)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r>
      <w:tr w:rsidR="004248A5"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Pr="00D820EA" w:rsidRDefault="009A3B7F" w:rsidP="00D820EA">
            <w:pPr>
              <w:jc w:val="center"/>
              <w:rPr>
                <w:rFonts w:cs="Arial"/>
                <w:b/>
                <w:bCs/>
                <w:szCs w:val="20"/>
              </w:rPr>
            </w:pPr>
            <w:r w:rsidRPr="009A3B7F">
              <w:rPr>
                <w:rFonts w:cs="Arial"/>
                <w:b/>
                <w:bCs/>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4248A5" w:rsidRPr="00633A94" w:rsidRDefault="00D820EA" w:rsidP="00227CFA">
            <w:pPr>
              <w:pStyle w:val="Table"/>
              <w:rPr>
                <w:rFonts w:cs="Arial"/>
                <w:b/>
                <w:sz w:val="20"/>
                <w:szCs w:val="20"/>
              </w:rPr>
            </w:pPr>
            <w:r w:rsidRPr="00D820EA">
              <w:rPr>
                <w:rFonts w:cs="Arial"/>
                <w:b/>
                <w:sz w:val="20"/>
                <w:szCs w:val="20"/>
              </w:rPr>
              <w:t>Australian annuities and superannuation income streams</w:t>
            </w:r>
          </w:p>
          <w:p w:rsidR="004248A5" w:rsidRPr="00633A94" w:rsidRDefault="00D820EA">
            <w:pPr>
              <w:ind w:left="17" w:hanging="17"/>
              <w:rPr>
                <w:rFonts w:cs="Arial"/>
                <w:szCs w:val="20"/>
              </w:rPr>
            </w:pPr>
            <w:r w:rsidRPr="00D820EA">
              <w:rPr>
                <w:rFonts w:cs="Arial"/>
                <w:szCs w:val="20"/>
              </w:rPr>
              <w:t>Obtain details of taxable and rebatable components of pension.</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2"/>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3"/>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r>
      <w:tr w:rsidR="004248A5"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Pr="00D820EA" w:rsidRDefault="009A3B7F" w:rsidP="00D820EA">
            <w:pPr>
              <w:jc w:val="center"/>
              <w:rPr>
                <w:rFonts w:cs="Arial"/>
                <w:b/>
                <w:bCs/>
                <w:szCs w:val="20"/>
              </w:rPr>
            </w:pPr>
            <w:r w:rsidRPr="009A3B7F">
              <w:rPr>
                <w:rFonts w:cs="Arial"/>
                <w:b/>
                <w:bCs/>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4248A5" w:rsidRPr="00633A94" w:rsidRDefault="00D820EA" w:rsidP="00227CFA">
            <w:pPr>
              <w:pStyle w:val="Table"/>
              <w:rPr>
                <w:rFonts w:cs="Arial"/>
                <w:b/>
                <w:sz w:val="20"/>
                <w:szCs w:val="20"/>
              </w:rPr>
            </w:pPr>
            <w:r w:rsidRPr="00D820EA">
              <w:rPr>
                <w:rFonts w:cs="Arial"/>
                <w:b/>
                <w:sz w:val="20"/>
                <w:szCs w:val="20"/>
              </w:rPr>
              <w:t>Australian superannuation lump sum payments</w:t>
            </w:r>
          </w:p>
          <w:p w:rsidR="004248A5" w:rsidRPr="00633A94" w:rsidRDefault="00D820EA" w:rsidP="00227CFA">
            <w:pPr>
              <w:pStyle w:val="Table"/>
              <w:rPr>
                <w:rFonts w:cs="Arial"/>
                <w:sz w:val="20"/>
                <w:szCs w:val="20"/>
              </w:rPr>
            </w:pPr>
            <w:r w:rsidRPr="00D820EA">
              <w:rPr>
                <w:rFonts w:cs="Arial"/>
                <w:sz w:val="20"/>
                <w:szCs w:val="20"/>
              </w:rPr>
              <w:t>Superannuation lump sums paid from a taxed source to a person aged 60 or over are tax free. Lump sums paid to persons under 60 are still taxable.</w:t>
            </w:r>
          </w:p>
          <w:p w:rsidR="004248A5" w:rsidRPr="00633A94" w:rsidRDefault="00D820EA">
            <w:pPr>
              <w:spacing w:after="120"/>
              <w:ind w:left="16"/>
              <w:rPr>
                <w:rFonts w:cs="Arial"/>
                <w:bCs/>
                <w:szCs w:val="20"/>
              </w:rPr>
            </w:pPr>
            <w:r w:rsidRPr="00D820EA">
              <w:rPr>
                <w:rFonts w:cs="Arial"/>
                <w:szCs w:val="20"/>
              </w:rPr>
              <w:t>Obtain details of recipient’s age and amount of the lump sum payment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r>
      <w:tr w:rsidR="004248A5"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Pr="00D820EA" w:rsidRDefault="009A3B7F" w:rsidP="00D820EA">
            <w:pPr>
              <w:jc w:val="center"/>
              <w:rPr>
                <w:rFonts w:cs="Arial"/>
                <w:b/>
                <w:bCs/>
                <w:szCs w:val="20"/>
              </w:rPr>
            </w:pPr>
            <w:r w:rsidRPr="009A3B7F">
              <w:rPr>
                <w:rFonts w:cs="Arial"/>
                <w:b/>
                <w:bCs/>
                <w:szCs w:val="20"/>
              </w:rPr>
              <w:lastRenderedPageBreak/>
              <w:t>9</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4248A5" w:rsidRPr="00633A94" w:rsidRDefault="00D820EA" w:rsidP="00227CFA">
            <w:pPr>
              <w:pStyle w:val="Table"/>
              <w:keepNext/>
              <w:rPr>
                <w:rFonts w:cs="Arial"/>
                <w:b/>
                <w:sz w:val="20"/>
                <w:szCs w:val="20"/>
              </w:rPr>
            </w:pPr>
            <w:r w:rsidRPr="00D820EA">
              <w:rPr>
                <w:rFonts w:cs="Arial"/>
                <w:b/>
                <w:sz w:val="20"/>
                <w:szCs w:val="20"/>
              </w:rPr>
              <w:t>Attributed personal services income</w:t>
            </w:r>
          </w:p>
          <w:p w:rsidR="004248A5" w:rsidRPr="00633A94" w:rsidRDefault="00D820EA" w:rsidP="00227CFA">
            <w:pPr>
              <w:pStyle w:val="Table"/>
              <w:keepNext/>
              <w:rPr>
                <w:rFonts w:cs="Arial"/>
                <w:sz w:val="20"/>
                <w:szCs w:val="20"/>
              </w:rPr>
            </w:pPr>
            <w:r w:rsidRPr="00D820EA">
              <w:rPr>
                <w:rFonts w:cs="Arial"/>
                <w:sz w:val="20"/>
                <w:szCs w:val="20"/>
              </w:rPr>
              <w:t>Obtain all payment summaries – personal services attributed income and details of any other personal services attributed to the taxpayer.</w:t>
            </w:r>
          </w:p>
          <w:p w:rsidR="004248A5" w:rsidRPr="00633A94" w:rsidRDefault="00D820EA" w:rsidP="002E11B7">
            <w:pPr>
              <w:rPr>
                <w:rFonts w:cs="Arial"/>
                <w:szCs w:val="20"/>
              </w:rPr>
            </w:pPr>
            <w:r w:rsidRPr="00D820EA">
              <w:rPr>
                <w:rFonts w:cs="Arial"/>
                <w:b/>
                <w:sz w:val="16"/>
                <w:szCs w:val="16"/>
              </w:rPr>
              <w:t>Note</w:t>
            </w:r>
            <w:r w:rsidRPr="00D820EA">
              <w:rPr>
                <w:rFonts w:cs="Arial"/>
                <w:sz w:val="16"/>
                <w:szCs w:val="16"/>
              </w:rPr>
              <w:t>: consider application of the personal services income (PSI) attribution rules in relation to any income derived by an interposed entity that is personal services income (PSI) of the individual. (PSI is included in the individual’s personal income tax return. PSI is income that is mainly a reward for an individual’s personal efforts or skills).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2"/>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3"/>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r>
      <w:tr w:rsidR="004248A5"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t>10</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4248A5" w:rsidRPr="00633A94" w:rsidRDefault="00D820EA" w:rsidP="00227CFA">
            <w:pPr>
              <w:pStyle w:val="Table"/>
              <w:rPr>
                <w:rFonts w:cs="Arial"/>
                <w:b/>
                <w:sz w:val="20"/>
                <w:szCs w:val="20"/>
              </w:rPr>
            </w:pPr>
            <w:r w:rsidRPr="00D820EA">
              <w:rPr>
                <w:rFonts w:cs="Arial"/>
                <w:b/>
                <w:sz w:val="20"/>
                <w:szCs w:val="20"/>
              </w:rPr>
              <w:t>Gross interest</w:t>
            </w:r>
          </w:p>
          <w:p w:rsidR="004248A5" w:rsidRPr="00633A94" w:rsidRDefault="00D820EA">
            <w:pPr>
              <w:ind w:left="17" w:hanging="17"/>
              <w:rPr>
                <w:rFonts w:cs="Arial"/>
                <w:szCs w:val="20"/>
              </w:rPr>
            </w:pPr>
            <w:r w:rsidRPr="00D820EA">
              <w:rPr>
                <w:rFonts w:cs="Arial"/>
                <w:szCs w:val="20"/>
              </w:rPr>
              <w:t>Interest that is received or credited in a year is taxable. Care should be taken to gross interest up where TFN withholding tax has been deducted.</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2"/>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3"/>
                  <w:enabled/>
                  <w:calcOnExit w:val="0"/>
                  <w:checkBox>
                    <w:sizeAuto/>
                    <w:default w:val="0"/>
                  </w:checkBox>
                </w:ffData>
              </w:fldChar>
            </w:r>
            <w:r w:rsidR="004248A5"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t>11</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9650E2" w:rsidRPr="00633A94" w:rsidRDefault="00D820EA" w:rsidP="00227CFA">
            <w:pPr>
              <w:pStyle w:val="Table"/>
              <w:rPr>
                <w:rFonts w:cs="Arial"/>
                <w:b/>
                <w:sz w:val="20"/>
                <w:szCs w:val="20"/>
              </w:rPr>
            </w:pPr>
            <w:r w:rsidRPr="00D820EA">
              <w:rPr>
                <w:rFonts w:cs="Arial"/>
                <w:b/>
                <w:sz w:val="20"/>
                <w:szCs w:val="20"/>
              </w:rPr>
              <w:t>Dividends</w:t>
            </w:r>
          </w:p>
          <w:p w:rsidR="009650E2" w:rsidRPr="00633A94" w:rsidRDefault="00D820EA" w:rsidP="00227CFA">
            <w:pPr>
              <w:pStyle w:val="Table"/>
              <w:rPr>
                <w:rFonts w:cs="Arial"/>
                <w:sz w:val="20"/>
                <w:szCs w:val="20"/>
              </w:rPr>
            </w:pPr>
            <w:r w:rsidRPr="00D820EA">
              <w:rPr>
                <w:rFonts w:cs="Arial"/>
                <w:sz w:val="20"/>
                <w:szCs w:val="20"/>
              </w:rPr>
              <w:t>Unfranked, partly franked and fully franked dividends are assessable for taxation purposes.</w:t>
            </w:r>
          </w:p>
          <w:p w:rsidR="009650E2" w:rsidRPr="00633A94" w:rsidRDefault="00D820EA">
            <w:pPr>
              <w:ind w:left="17" w:hanging="17"/>
              <w:rPr>
                <w:rFonts w:cs="Arial"/>
                <w:szCs w:val="20"/>
              </w:rPr>
            </w:pPr>
            <w:r w:rsidRPr="00D820EA">
              <w:rPr>
                <w:rFonts w:cs="Arial"/>
                <w:b/>
                <w:szCs w:val="20"/>
              </w:rPr>
              <w:t>Tax tip:</w:t>
            </w:r>
            <w:r w:rsidRPr="00D820EA">
              <w:rPr>
                <w:rFonts w:cs="Arial"/>
                <w:szCs w:val="20"/>
              </w:rPr>
              <w:t xml:space="preserve"> where a reinvestment program has been entered into, the value of that dividend reinvestment is taxable. Carefully consider the taxation implications of bonus share issues to individuals.</w:t>
            </w:r>
            <w:r w:rsidR="006679A2">
              <w:rPr>
                <w:rFonts w:cs="Arial"/>
                <w:szCs w:val="20"/>
              </w:rPr>
              <w:t xml:space="preserve"> Also check for withholding tax deducted</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t>12</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9650E2" w:rsidRPr="00633A94" w:rsidRDefault="00D820EA" w:rsidP="002745C9">
            <w:pPr>
              <w:pStyle w:val="Table"/>
              <w:rPr>
                <w:rFonts w:cs="Arial"/>
                <w:b/>
                <w:sz w:val="20"/>
                <w:szCs w:val="20"/>
              </w:rPr>
            </w:pPr>
            <w:r w:rsidRPr="00D820EA">
              <w:rPr>
                <w:rFonts w:cs="Arial"/>
                <w:b/>
                <w:sz w:val="20"/>
                <w:szCs w:val="20"/>
              </w:rPr>
              <w:t>Employee share schemes (ESS)</w:t>
            </w:r>
          </w:p>
          <w:p w:rsidR="009650E2" w:rsidRPr="00633A94" w:rsidRDefault="00D820EA" w:rsidP="002745C9">
            <w:pPr>
              <w:pStyle w:val="Table"/>
              <w:rPr>
                <w:rFonts w:cs="Arial"/>
                <w:sz w:val="20"/>
                <w:szCs w:val="20"/>
              </w:rPr>
            </w:pPr>
            <w:r w:rsidRPr="00D820EA">
              <w:rPr>
                <w:rFonts w:cs="Arial"/>
                <w:sz w:val="20"/>
                <w:szCs w:val="20"/>
              </w:rPr>
              <w:t>The discount given on the ‘ESS interest’ (being a share or a right to acquire a share) under the ESS is assessable for taxation purposes unless the deferral concession applies to you. This assessable discount may be reduced by $1,000 where certain conditions apply.</w:t>
            </w:r>
          </w:p>
          <w:p w:rsidR="009650E2" w:rsidRPr="00633A94" w:rsidRDefault="00D820EA" w:rsidP="002745C9">
            <w:pPr>
              <w:pStyle w:val="Table"/>
              <w:rPr>
                <w:rFonts w:cs="Arial"/>
                <w:sz w:val="20"/>
                <w:szCs w:val="20"/>
              </w:rPr>
            </w:pPr>
            <w:r w:rsidRPr="00D820EA">
              <w:rPr>
                <w:rFonts w:cs="Arial"/>
                <w:sz w:val="20"/>
                <w:szCs w:val="20"/>
              </w:rPr>
              <w:t>Where certain conditions are met in relation to the terms of the ESS you may defer including the assessable discount in your assessable income until a later income year.</w:t>
            </w:r>
          </w:p>
          <w:p w:rsidR="009650E2" w:rsidRPr="00633A94" w:rsidRDefault="00D820EA" w:rsidP="00F86D41">
            <w:pPr>
              <w:pStyle w:val="Table"/>
              <w:rPr>
                <w:rFonts w:cs="Arial"/>
                <w:b/>
                <w:sz w:val="16"/>
                <w:szCs w:val="16"/>
              </w:rPr>
            </w:pPr>
            <w:r w:rsidRPr="00D820EA">
              <w:rPr>
                <w:rFonts w:cs="Arial"/>
                <w:b/>
                <w:sz w:val="16"/>
                <w:szCs w:val="16"/>
              </w:rPr>
              <w:t>Note</w:t>
            </w:r>
            <w:r w:rsidRPr="00D820EA">
              <w:rPr>
                <w:rFonts w:cs="Arial"/>
                <w:sz w:val="16"/>
                <w:szCs w:val="16"/>
              </w:rPr>
              <w:t xml:space="preserve">: for interests acquired pre 1 July 2009 the discount is included in the </w:t>
            </w:r>
            <w:r w:rsidR="00000DBE">
              <w:rPr>
                <w:rFonts w:cs="Arial"/>
                <w:sz w:val="16"/>
                <w:szCs w:val="16"/>
              </w:rPr>
              <w:t>201</w:t>
            </w:r>
            <w:r w:rsidR="00F86D41">
              <w:rPr>
                <w:rFonts w:cs="Arial"/>
                <w:sz w:val="16"/>
                <w:szCs w:val="16"/>
              </w:rPr>
              <w:t>5</w:t>
            </w:r>
            <w:r w:rsidRPr="00D820EA">
              <w:rPr>
                <w:rFonts w:cs="Arial"/>
                <w:sz w:val="16"/>
                <w:szCs w:val="16"/>
              </w:rPr>
              <w:t xml:space="preserve"> income tax return if the ‘cessation time’ occurred during the </w:t>
            </w:r>
            <w:r w:rsidR="00000DBE">
              <w:rPr>
                <w:rFonts w:cs="Arial"/>
                <w:sz w:val="16"/>
                <w:szCs w:val="16"/>
              </w:rPr>
              <w:t>201</w:t>
            </w:r>
            <w:r w:rsidR="00F86D41">
              <w:rPr>
                <w:rFonts w:cs="Arial"/>
                <w:sz w:val="16"/>
                <w:szCs w:val="16"/>
              </w:rPr>
              <w:t>5</w:t>
            </w:r>
            <w:r w:rsidRPr="00D820EA">
              <w:rPr>
                <w:rFonts w:cs="Arial"/>
                <w:sz w:val="16"/>
                <w:szCs w:val="16"/>
              </w:rPr>
              <w:t xml:space="preserve"> income year.</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2"/>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3"/>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9650E2" w:rsidRPr="00633A94" w:rsidRDefault="009650E2" w:rsidP="00000DBE">
            <w:pPr>
              <w:rPr>
                <w:rFonts w:cs="Arial"/>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D820EA" w:rsidP="00D820EA">
            <w:pPr>
              <w:jc w:val="center"/>
              <w:rPr>
                <w:rFonts w:cs="Arial"/>
                <w:b/>
                <w:color w:val="FFFFFF"/>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D820EA" w:rsidP="00D820EA">
            <w:pPr>
              <w:jc w:val="center"/>
              <w:rPr>
                <w:rFonts w:cs="Arial"/>
                <w:b/>
                <w:bCs/>
                <w:color w:val="FFFFFF"/>
                <w:sz w:val="16"/>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D820EA" w:rsidP="00D820EA">
            <w:pPr>
              <w:jc w:val="center"/>
              <w:rPr>
                <w:rFonts w:cs="Arial"/>
                <w:b/>
                <w:bCs/>
                <w:color w:val="FFFFFF"/>
                <w:sz w:val="16"/>
                <w:szCs w:val="20"/>
              </w:rPr>
            </w:pPr>
          </w:p>
        </w:tc>
      </w:tr>
      <w:tr w:rsidR="009650E2" w:rsidRPr="00633A94" w:rsidTr="00B257C4">
        <w:trPr>
          <w:cantSplit/>
        </w:trPr>
        <w:tc>
          <w:tcPr>
            <w:tcW w:w="10712" w:type="dxa"/>
            <w:gridSpan w:val="5"/>
            <w:tcBorders>
              <w:top w:val="single" w:sz="4" w:space="0" w:color="auto"/>
              <w:left w:val="single" w:sz="4" w:space="0" w:color="auto"/>
              <w:bottom w:val="single" w:sz="4" w:space="0" w:color="auto"/>
              <w:right w:val="single" w:sz="4" w:space="0" w:color="auto"/>
            </w:tcBorders>
            <w:shd w:val="clear" w:color="auto" w:fill="404040"/>
            <w:tcMar>
              <w:bottom w:w="113" w:type="dxa"/>
            </w:tcMar>
            <w:vAlign w:val="center"/>
          </w:tcPr>
          <w:p w:rsidR="00D820EA" w:rsidRDefault="00D820EA">
            <w:pPr>
              <w:keepNext/>
              <w:ind w:left="141"/>
              <w:rPr>
                <w:rFonts w:cs="Arial"/>
                <w:b/>
                <w:color w:val="FFFFFF"/>
                <w:szCs w:val="20"/>
              </w:rPr>
            </w:pPr>
            <w:r w:rsidRPr="00D820EA">
              <w:rPr>
                <w:rFonts w:cs="Arial"/>
                <w:b/>
                <w:color w:val="FFFFFF"/>
                <w:szCs w:val="20"/>
              </w:rPr>
              <w:t>Supplement Income or Loss</w:t>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t>13</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9650E2" w:rsidRPr="00633A94" w:rsidRDefault="00D820EA" w:rsidP="002C3526">
            <w:pPr>
              <w:pStyle w:val="Table"/>
              <w:rPr>
                <w:rFonts w:cs="Arial"/>
                <w:b/>
                <w:sz w:val="20"/>
                <w:szCs w:val="20"/>
              </w:rPr>
            </w:pPr>
            <w:r w:rsidRPr="00D820EA">
              <w:rPr>
                <w:rFonts w:cs="Arial"/>
                <w:b/>
                <w:sz w:val="20"/>
                <w:szCs w:val="20"/>
              </w:rPr>
              <w:t>Partnerships and trusts</w:t>
            </w:r>
          </w:p>
          <w:p w:rsidR="009650E2" w:rsidRPr="00633A94" w:rsidRDefault="00D820EA" w:rsidP="002C3526">
            <w:pPr>
              <w:pStyle w:val="Table"/>
              <w:rPr>
                <w:rFonts w:cs="Arial"/>
                <w:sz w:val="20"/>
                <w:szCs w:val="20"/>
              </w:rPr>
            </w:pPr>
            <w:r w:rsidRPr="00D820EA">
              <w:rPr>
                <w:rFonts w:cs="Arial"/>
                <w:sz w:val="20"/>
                <w:szCs w:val="20"/>
              </w:rPr>
              <w:t>Details of the partnership, trust or a managed investment trust fund payment and type of income received are required. Carefully identify tax credits that may be utilised.</w:t>
            </w:r>
          </w:p>
          <w:p w:rsidR="009650E2" w:rsidRPr="00633A94" w:rsidRDefault="00D820EA">
            <w:pPr>
              <w:ind w:left="17" w:hanging="17"/>
              <w:rPr>
                <w:rFonts w:cs="Arial"/>
                <w:szCs w:val="20"/>
              </w:rPr>
            </w:pPr>
            <w:r w:rsidRPr="00D820EA">
              <w:rPr>
                <w:rFonts w:cs="Arial"/>
                <w:b/>
                <w:szCs w:val="20"/>
              </w:rPr>
              <w:t>Note</w:t>
            </w:r>
            <w:r w:rsidRPr="00D820EA">
              <w:rPr>
                <w:rFonts w:cs="Arial"/>
                <w:szCs w:val="20"/>
              </w:rPr>
              <w:t xml:space="preserve">: trustees of closely held trusts are required to withhold amounts from distributions to individual beneficiaries who have not provided their TFN. Beneficiaries who have had amounts withheld from their trust distributions can claim a credit under this label.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2"/>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3"/>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lastRenderedPageBreak/>
              <w:t>14</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9650E2" w:rsidRPr="00633A94" w:rsidRDefault="00D820EA" w:rsidP="002C3526">
            <w:pPr>
              <w:pStyle w:val="Table"/>
              <w:rPr>
                <w:rFonts w:cs="Arial"/>
                <w:b/>
                <w:sz w:val="20"/>
                <w:szCs w:val="20"/>
              </w:rPr>
            </w:pPr>
            <w:r w:rsidRPr="00D820EA">
              <w:rPr>
                <w:rFonts w:cs="Arial"/>
                <w:b/>
                <w:sz w:val="20"/>
                <w:szCs w:val="20"/>
              </w:rPr>
              <w:t>Personal services income (PSI)</w:t>
            </w:r>
          </w:p>
          <w:p w:rsidR="009650E2" w:rsidRPr="00633A94" w:rsidRDefault="00D820EA" w:rsidP="002C3526">
            <w:pPr>
              <w:pStyle w:val="Table"/>
              <w:rPr>
                <w:rFonts w:cs="Arial"/>
                <w:sz w:val="20"/>
                <w:szCs w:val="20"/>
              </w:rPr>
            </w:pPr>
            <w:r w:rsidRPr="00D820EA">
              <w:rPr>
                <w:rFonts w:cs="Arial"/>
                <w:sz w:val="20"/>
                <w:szCs w:val="20"/>
              </w:rPr>
              <w:t xml:space="preserve">Is the client a sole trader? If yes, ask the client if they received </w:t>
            </w:r>
            <w:r w:rsidR="00F85883">
              <w:rPr>
                <w:rFonts w:cs="Arial"/>
                <w:sz w:val="20"/>
                <w:szCs w:val="20"/>
              </w:rPr>
              <w:t xml:space="preserve">personal services </w:t>
            </w:r>
            <w:r w:rsidRPr="00D820EA">
              <w:rPr>
                <w:rFonts w:cs="Arial"/>
                <w:sz w:val="20"/>
                <w:szCs w:val="20"/>
              </w:rPr>
              <w:t>income predominantly (80% or more) from the one source and did not have a Personal Services Business Determination in place. If this is the case then the Business and Professional items section should be completed.</w:t>
            </w:r>
          </w:p>
          <w:p w:rsidR="009650E2" w:rsidRPr="00633A94" w:rsidRDefault="00D820EA" w:rsidP="002C3526">
            <w:pPr>
              <w:pStyle w:val="Source"/>
              <w:tabs>
                <w:tab w:val="clear" w:pos="368"/>
                <w:tab w:val="left" w:pos="601"/>
              </w:tabs>
              <w:spacing w:before="120" w:after="80"/>
              <w:ind w:left="0" w:right="-119" w:firstLine="0"/>
              <w:rPr>
                <w:rFonts w:cs="Arial"/>
                <w:sz w:val="16"/>
                <w:szCs w:val="16"/>
              </w:rPr>
            </w:pPr>
            <w:r w:rsidRPr="00D820EA">
              <w:rPr>
                <w:rFonts w:cs="Arial"/>
                <w:b/>
                <w:sz w:val="16"/>
                <w:szCs w:val="16"/>
              </w:rPr>
              <w:t>Note</w:t>
            </w:r>
            <w:r w:rsidRPr="00D820EA">
              <w:rPr>
                <w:rFonts w:cs="Arial"/>
                <w:sz w:val="16"/>
                <w:szCs w:val="16"/>
              </w:rPr>
              <w:t xml:space="preserve">: there are special rules for the tax treatment of personal services income earned by sole traders including contractors and consultants. Reference should be had to the ATO publication </w:t>
            </w:r>
            <w:r w:rsidRPr="00D820EA">
              <w:rPr>
                <w:rFonts w:cs="Arial"/>
                <w:i/>
                <w:sz w:val="16"/>
                <w:szCs w:val="16"/>
              </w:rPr>
              <w:t>Business and professional items</w:t>
            </w:r>
            <w:r w:rsidRPr="00D820EA">
              <w:rPr>
                <w:rFonts w:cs="Arial"/>
                <w:sz w:val="16"/>
                <w:szCs w:val="16"/>
              </w:rPr>
              <w:t xml:space="preserve"> (NAT 2543) before completing this section.</w:t>
            </w:r>
          </w:p>
          <w:p w:rsidR="009650E2" w:rsidRPr="00633A94" w:rsidRDefault="009650E2">
            <w:pPr>
              <w:ind w:left="17" w:hanging="17"/>
              <w:rPr>
                <w:rFonts w:cs="Arial"/>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hRule="exact" w:val="2284"/>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t>15</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9650E2" w:rsidRPr="00633A94" w:rsidRDefault="00D820EA" w:rsidP="002C3526">
            <w:pPr>
              <w:pStyle w:val="Table"/>
              <w:rPr>
                <w:rFonts w:cs="Arial"/>
                <w:b/>
                <w:sz w:val="20"/>
                <w:szCs w:val="20"/>
              </w:rPr>
            </w:pPr>
            <w:r w:rsidRPr="00D820EA">
              <w:rPr>
                <w:rFonts w:cs="Arial"/>
                <w:b/>
                <w:sz w:val="20"/>
                <w:szCs w:val="20"/>
              </w:rPr>
              <w:t>Net income or loss from business</w:t>
            </w:r>
          </w:p>
          <w:p w:rsidR="009650E2" w:rsidRPr="00633A94" w:rsidRDefault="00D820EA" w:rsidP="002C3526">
            <w:pPr>
              <w:pStyle w:val="Table"/>
              <w:rPr>
                <w:rFonts w:cs="Arial"/>
                <w:sz w:val="20"/>
                <w:szCs w:val="20"/>
              </w:rPr>
            </w:pPr>
            <w:r w:rsidRPr="00D820EA">
              <w:rPr>
                <w:rFonts w:cs="Arial"/>
                <w:sz w:val="20"/>
                <w:szCs w:val="20"/>
              </w:rPr>
              <w:t>If the taxpayer derived income from any business (other than the personal service</w:t>
            </w:r>
            <w:r w:rsidR="00F85883">
              <w:rPr>
                <w:rFonts w:cs="Arial"/>
                <w:sz w:val="20"/>
                <w:szCs w:val="20"/>
              </w:rPr>
              <w:t>s</w:t>
            </w:r>
            <w:r w:rsidRPr="00D820EA">
              <w:rPr>
                <w:rFonts w:cs="Arial"/>
                <w:sz w:val="20"/>
                <w:szCs w:val="20"/>
              </w:rPr>
              <w:t xml:space="preserve"> income included at item 1</w:t>
            </w:r>
            <w:r w:rsidR="006679A2">
              <w:rPr>
                <w:rFonts w:cs="Arial"/>
                <w:sz w:val="20"/>
                <w:szCs w:val="20"/>
              </w:rPr>
              <w:t>4</w:t>
            </w:r>
            <w:r w:rsidRPr="00D820EA">
              <w:rPr>
                <w:rFonts w:cs="Arial"/>
                <w:sz w:val="20"/>
                <w:szCs w:val="20"/>
              </w:rPr>
              <w:t>), complete and attach a business and professional items schedule.</w:t>
            </w:r>
          </w:p>
          <w:p w:rsidR="009650E2" w:rsidRPr="00633A94" w:rsidRDefault="00D820EA">
            <w:pPr>
              <w:ind w:left="17" w:hanging="17"/>
              <w:rPr>
                <w:rFonts w:cs="Arial"/>
                <w:szCs w:val="20"/>
              </w:rPr>
            </w:pPr>
            <w:r w:rsidRPr="00D820EA">
              <w:rPr>
                <w:rFonts w:cs="Arial"/>
                <w:b/>
                <w:sz w:val="16"/>
                <w:szCs w:val="16"/>
              </w:rPr>
              <w:t>Note</w:t>
            </w:r>
            <w:r w:rsidRPr="00D820EA">
              <w:rPr>
                <w:rFonts w:cs="Arial"/>
                <w:sz w:val="16"/>
                <w:szCs w:val="16"/>
              </w:rPr>
              <w:t xml:space="preserve">: reference should be had to the ATO publication </w:t>
            </w:r>
            <w:r w:rsidRPr="00D820EA">
              <w:rPr>
                <w:rFonts w:cs="Arial"/>
                <w:i/>
                <w:sz w:val="16"/>
                <w:szCs w:val="16"/>
              </w:rPr>
              <w:t>Business and professional items</w:t>
            </w:r>
            <w:r w:rsidRPr="00D820EA">
              <w:rPr>
                <w:rFonts w:cs="Arial"/>
                <w:sz w:val="16"/>
                <w:szCs w:val="16"/>
              </w:rPr>
              <w:t xml:space="preserve"> (NAT 2543) before completing this section.</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2"/>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3"/>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t>16</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9650E2" w:rsidRPr="00633A94" w:rsidRDefault="00D820EA" w:rsidP="002C3526">
            <w:pPr>
              <w:pStyle w:val="Table"/>
              <w:keepNext/>
              <w:rPr>
                <w:rFonts w:cs="Arial"/>
                <w:b/>
                <w:sz w:val="20"/>
                <w:szCs w:val="20"/>
              </w:rPr>
            </w:pPr>
            <w:r w:rsidRPr="00D820EA">
              <w:rPr>
                <w:rFonts w:cs="Arial"/>
                <w:b/>
                <w:sz w:val="20"/>
                <w:szCs w:val="20"/>
              </w:rPr>
              <w:t>Deferred non-commercial business losses</w:t>
            </w:r>
          </w:p>
          <w:p w:rsidR="009650E2" w:rsidRPr="00633A94" w:rsidRDefault="00D820EA" w:rsidP="002C3526">
            <w:pPr>
              <w:pStyle w:val="Table"/>
              <w:keepNext/>
              <w:rPr>
                <w:rFonts w:cs="Arial"/>
                <w:sz w:val="20"/>
                <w:szCs w:val="20"/>
              </w:rPr>
            </w:pPr>
            <w:r w:rsidRPr="00D820EA">
              <w:rPr>
                <w:rFonts w:cs="Arial"/>
                <w:sz w:val="20"/>
                <w:szCs w:val="20"/>
              </w:rPr>
              <w:t>This item relates to losses made from activities that constitute carrying on a business (e.g. sole trader or partnership). If applicable, complete item P9 in the business and professional items schedule.</w:t>
            </w:r>
          </w:p>
          <w:p w:rsidR="009650E2" w:rsidRPr="00633A94" w:rsidRDefault="00D820EA" w:rsidP="002C3526">
            <w:pPr>
              <w:pStyle w:val="Source"/>
              <w:tabs>
                <w:tab w:val="clear" w:pos="368"/>
                <w:tab w:val="left" w:pos="601"/>
              </w:tabs>
              <w:spacing w:before="120" w:after="80"/>
              <w:ind w:left="0" w:right="-119" w:firstLine="0"/>
              <w:rPr>
                <w:rFonts w:cs="Arial"/>
                <w:sz w:val="16"/>
                <w:szCs w:val="16"/>
              </w:rPr>
            </w:pPr>
            <w:r w:rsidRPr="00D820EA">
              <w:rPr>
                <w:rFonts w:cs="Arial"/>
                <w:b/>
                <w:sz w:val="16"/>
                <w:szCs w:val="16"/>
              </w:rPr>
              <w:t>Note</w:t>
            </w:r>
            <w:r w:rsidRPr="00D820EA">
              <w:rPr>
                <w:rFonts w:cs="Arial"/>
                <w:sz w:val="16"/>
                <w:szCs w:val="16"/>
              </w:rPr>
              <w:t>: for a loss to be claimed in the current period, the client must either operate a primary production or professional arts business (subject to a $40,000 limit on other source income) or meet one of the four exemption tests, or have the Commissioner exercise his discretion to allow the loss.</w:t>
            </w:r>
          </w:p>
          <w:p w:rsidR="009650E2" w:rsidRPr="00633A94" w:rsidRDefault="00D820EA" w:rsidP="00B76B1E">
            <w:pPr>
              <w:ind w:left="17" w:hanging="17"/>
              <w:rPr>
                <w:rFonts w:cs="Arial"/>
                <w:szCs w:val="20"/>
              </w:rPr>
            </w:pPr>
            <w:r w:rsidRPr="00D820EA">
              <w:rPr>
                <w:rFonts w:cs="Arial"/>
                <w:b/>
                <w:sz w:val="16"/>
                <w:szCs w:val="16"/>
              </w:rPr>
              <w:t>Note</w:t>
            </w:r>
            <w:r w:rsidRPr="00D820EA">
              <w:rPr>
                <w:rFonts w:cs="Arial"/>
                <w:sz w:val="16"/>
                <w:szCs w:val="16"/>
              </w:rPr>
              <w:t xml:space="preserve">: taxpayers </w:t>
            </w:r>
            <w:r w:rsidR="00B76B1E">
              <w:rPr>
                <w:rFonts w:cs="Arial"/>
                <w:sz w:val="16"/>
                <w:szCs w:val="16"/>
              </w:rPr>
              <w:t>who</w:t>
            </w:r>
            <w:r w:rsidRPr="00D820EA">
              <w:rPr>
                <w:rFonts w:cs="Arial"/>
                <w:sz w:val="16"/>
                <w:szCs w:val="16"/>
              </w:rPr>
              <w:t xml:space="preserve"> have not received the Commissioner’s discretion (to not have the Non-Commercial Business Loss rules apply) that have adjusted taxable income over $250,000 will only be able to deduct expenses from non-commercial business activities against income from those activities (i.e. this means any resultant losses will be quarantined to the business activity and cannot be deducted against other taxable income).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t>17</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9650E2" w:rsidRPr="00633A94" w:rsidRDefault="00D820EA" w:rsidP="002745C9">
            <w:pPr>
              <w:pStyle w:val="Table"/>
              <w:rPr>
                <w:rFonts w:cs="Arial"/>
                <w:b/>
                <w:sz w:val="20"/>
                <w:szCs w:val="20"/>
              </w:rPr>
            </w:pPr>
            <w:r w:rsidRPr="00D820EA">
              <w:rPr>
                <w:rFonts w:cs="Arial"/>
                <w:b/>
                <w:sz w:val="20"/>
                <w:szCs w:val="20"/>
              </w:rPr>
              <w:t>Net farm management deposits or repayments</w:t>
            </w:r>
          </w:p>
          <w:p w:rsidR="009650E2" w:rsidRPr="00633A94" w:rsidRDefault="00D820EA" w:rsidP="002745C9">
            <w:pPr>
              <w:pStyle w:val="Table"/>
              <w:rPr>
                <w:rFonts w:cs="Arial"/>
                <w:sz w:val="20"/>
                <w:szCs w:val="20"/>
              </w:rPr>
            </w:pPr>
            <w:r w:rsidRPr="00D820EA">
              <w:rPr>
                <w:rFonts w:cs="Arial"/>
                <w:sz w:val="20"/>
                <w:szCs w:val="20"/>
              </w:rPr>
              <w:t>This item is for primary producers only.</w:t>
            </w:r>
          </w:p>
          <w:p w:rsidR="009650E2" w:rsidRDefault="00D820EA">
            <w:pPr>
              <w:ind w:left="17" w:hanging="17"/>
              <w:rPr>
                <w:rFonts w:cs="Arial"/>
                <w:sz w:val="16"/>
                <w:szCs w:val="16"/>
              </w:rPr>
            </w:pPr>
            <w:r w:rsidRPr="00D820EA">
              <w:rPr>
                <w:rFonts w:cs="Arial"/>
                <w:b/>
                <w:sz w:val="16"/>
                <w:szCs w:val="16"/>
              </w:rPr>
              <w:t>Note:</w:t>
            </w:r>
            <w:r w:rsidRPr="00D820EA">
              <w:rPr>
                <w:rFonts w:cs="Arial"/>
                <w:sz w:val="16"/>
                <w:szCs w:val="16"/>
              </w:rPr>
              <w:t xml:space="preserve"> ensure that amounts that make up the net farm management deposits or repayments (e.g. deductible deposits, early repayments for exceptional circumstances and early repayments for natural disaster) are disclosed in labels D,C, N or R.</w:t>
            </w:r>
          </w:p>
          <w:p w:rsidR="00B76B1E" w:rsidRPr="00633A94" w:rsidRDefault="00B76B1E">
            <w:pPr>
              <w:ind w:left="17" w:hanging="17"/>
              <w:rPr>
                <w:rFonts w:cs="Arial"/>
                <w:szCs w:val="20"/>
              </w:rPr>
            </w:pPr>
            <w:r>
              <w:rPr>
                <w:rFonts w:cs="Arial"/>
                <w:b/>
                <w:sz w:val="16"/>
                <w:szCs w:val="16"/>
              </w:rPr>
              <w:t>Note :</w:t>
            </w:r>
            <w:r>
              <w:rPr>
                <w:rFonts w:cs="Arial"/>
                <w:szCs w:val="20"/>
              </w:rPr>
              <w:t xml:space="preserve"> This item may be negative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2"/>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3"/>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lastRenderedPageBreak/>
              <w:t>18</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9650E2" w:rsidRPr="00633A94" w:rsidRDefault="00D820EA" w:rsidP="002745C9">
            <w:pPr>
              <w:pStyle w:val="Table"/>
              <w:rPr>
                <w:rFonts w:cs="Arial"/>
                <w:b/>
                <w:sz w:val="20"/>
                <w:szCs w:val="20"/>
              </w:rPr>
            </w:pPr>
            <w:r w:rsidRPr="00D820EA">
              <w:rPr>
                <w:rFonts w:cs="Arial"/>
                <w:b/>
                <w:sz w:val="20"/>
                <w:szCs w:val="20"/>
              </w:rPr>
              <w:t>Capital gains</w:t>
            </w:r>
          </w:p>
          <w:p w:rsidR="009650E2" w:rsidRPr="00633A94" w:rsidRDefault="00D820EA" w:rsidP="002745C9">
            <w:pPr>
              <w:pStyle w:val="Table"/>
              <w:ind w:right="-57"/>
              <w:rPr>
                <w:rFonts w:cs="Arial"/>
                <w:sz w:val="20"/>
                <w:szCs w:val="20"/>
              </w:rPr>
            </w:pPr>
            <w:r w:rsidRPr="00D820EA">
              <w:rPr>
                <w:rFonts w:cs="Arial"/>
                <w:sz w:val="20"/>
                <w:szCs w:val="20"/>
              </w:rPr>
              <w:t>Obtain a description of the asset, the purchase date, the purchase cost, date and amount of any expenditure incurred by the taxpayer that forms part of the asset’s cost base including eligible incidental costs, the sale date and the sale proceeds amount.</w:t>
            </w:r>
          </w:p>
          <w:p w:rsidR="009650E2" w:rsidRPr="00633A94" w:rsidRDefault="00D820EA" w:rsidP="002745C9">
            <w:pPr>
              <w:pStyle w:val="Table"/>
              <w:rPr>
                <w:rFonts w:cs="Arial"/>
                <w:sz w:val="20"/>
                <w:szCs w:val="20"/>
              </w:rPr>
            </w:pPr>
            <w:r w:rsidRPr="00D820EA">
              <w:rPr>
                <w:rFonts w:cs="Arial"/>
                <w:sz w:val="20"/>
                <w:szCs w:val="20"/>
              </w:rPr>
              <w:t>Take account of rules applicable to assets sold from 21 September 1999 (i.e. removal of CGT averaging, 50% CGT discount method, the small business CGT concessions and freezing of indexation as at 30 September 1999).</w:t>
            </w:r>
          </w:p>
          <w:p w:rsidR="009650E2" w:rsidRPr="00633A94" w:rsidRDefault="00D820EA" w:rsidP="002745C9">
            <w:pPr>
              <w:pStyle w:val="Table"/>
              <w:rPr>
                <w:rFonts w:cs="Arial"/>
                <w:color w:val="000000"/>
                <w:sz w:val="16"/>
                <w:szCs w:val="16"/>
              </w:rPr>
            </w:pPr>
            <w:r w:rsidRPr="00D820EA">
              <w:rPr>
                <w:rFonts w:cs="Arial"/>
                <w:b/>
                <w:color w:val="000000"/>
                <w:sz w:val="16"/>
                <w:szCs w:val="16"/>
              </w:rPr>
              <w:t>Tax tip</w:t>
            </w:r>
            <w:r w:rsidRPr="00D820EA">
              <w:rPr>
                <w:rFonts w:cs="Arial"/>
                <w:color w:val="000000"/>
                <w:sz w:val="16"/>
                <w:szCs w:val="16"/>
              </w:rPr>
              <w:t>: capital losses are applied against gross capital gains before the 50% discount and/or small business concessions are applied.</w:t>
            </w:r>
          </w:p>
          <w:p w:rsidR="009650E2" w:rsidRPr="00633A94" w:rsidRDefault="00D820EA" w:rsidP="00B76B1E">
            <w:pPr>
              <w:ind w:left="17" w:hanging="17"/>
              <w:rPr>
                <w:rFonts w:cs="Arial"/>
                <w:szCs w:val="20"/>
              </w:rPr>
            </w:pPr>
            <w:r w:rsidRPr="00D820EA">
              <w:rPr>
                <w:rFonts w:cs="Arial"/>
                <w:b/>
                <w:color w:val="000000"/>
                <w:sz w:val="16"/>
                <w:szCs w:val="16"/>
              </w:rPr>
              <w:t>Note:</w:t>
            </w:r>
            <w:r w:rsidRPr="00D820EA">
              <w:rPr>
                <w:rFonts w:cs="Arial"/>
                <w:color w:val="000000"/>
                <w:sz w:val="16"/>
                <w:szCs w:val="16"/>
              </w:rPr>
              <w:t xml:space="preserve"> foreign resident individuals that make capital gains in relation to CGT events that occur after 7:30 pm on 8 May 2012 will not be able to discount the gain that “accrues” after this time. This means that a foreign resident will now need to calculate the ‘pre’ and ‘post’ 8 May 2012 portions of their capital gain. This is because the ‘pre-8 May 2012’ portion can continue to be discounted but the ‘post 8 May 2012’ portion will now be ineligible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t>19</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9650E2" w:rsidRPr="00633A94" w:rsidRDefault="00D820EA" w:rsidP="002745C9">
            <w:pPr>
              <w:pStyle w:val="Table"/>
              <w:rPr>
                <w:rFonts w:cs="Arial"/>
                <w:b/>
                <w:sz w:val="20"/>
                <w:szCs w:val="20"/>
              </w:rPr>
            </w:pPr>
            <w:r w:rsidRPr="00D820EA">
              <w:rPr>
                <w:rFonts w:cs="Arial"/>
                <w:b/>
                <w:sz w:val="20"/>
                <w:szCs w:val="20"/>
              </w:rPr>
              <w:t>Foreign entities</w:t>
            </w:r>
          </w:p>
          <w:p w:rsidR="009650E2" w:rsidRPr="00633A94" w:rsidRDefault="00D820EA">
            <w:pPr>
              <w:rPr>
                <w:rFonts w:cs="Arial"/>
                <w:bCs/>
                <w:szCs w:val="20"/>
              </w:rPr>
            </w:pPr>
            <w:r w:rsidRPr="00D820EA">
              <w:rPr>
                <w:rFonts w:cs="Arial"/>
                <w:szCs w:val="20"/>
              </w:rPr>
              <w:t>Include here any attributable income in relation to any controlled foreign company or transferor trust.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vAlign w:val="center"/>
          </w:tcPr>
          <w:p w:rsidR="00D820EA" w:rsidRDefault="00D820EA" w:rsidP="00D820EA">
            <w:pPr>
              <w:jc w:val="center"/>
              <w:rPr>
                <w:rFonts w:cs="Arial"/>
                <w:b/>
                <w:bCs/>
                <w:szCs w:val="20"/>
              </w:rPr>
            </w:pPr>
            <w:r w:rsidRPr="00D820EA">
              <w:rPr>
                <w:rFonts w:cs="Arial"/>
                <w:b/>
                <w:bCs/>
                <w:szCs w:val="20"/>
              </w:rPr>
              <w:t>20</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2745C9">
            <w:pPr>
              <w:pStyle w:val="Table"/>
              <w:rPr>
                <w:rFonts w:cs="Arial"/>
                <w:b/>
                <w:sz w:val="20"/>
                <w:szCs w:val="20"/>
              </w:rPr>
            </w:pPr>
            <w:r w:rsidRPr="00D820EA">
              <w:rPr>
                <w:rFonts w:cs="Arial"/>
                <w:b/>
                <w:sz w:val="20"/>
                <w:szCs w:val="20"/>
              </w:rPr>
              <w:t>Foreign source income and foreign assets or property</w:t>
            </w:r>
          </w:p>
          <w:p w:rsidR="009650E2" w:rsidRPr="00633A94" w:rsidRDefault="00D820EA" w:rsidP="002745C9">
            <w:pPr>
              <w:pStyle w:val="Table"/>
              <w:rPr>
                <w:rFonts w:cs="Arial"/>
                <w:sz w:val="20"/>
                <w:szCs w:val="20"/>
              </w:rPr>
            </w:pPr>
            <w:r w:rsidRPr="00D820EA">
              <w:rPr>
                <w:rFonts w:cs="Arial"/>
                <w:sz w:val="20"/>
                <w:szCs w:val="20"/>
              </w:rPr>
              <w:t>Obtain details of country, amount received, exchange rate utilised, foreign tax withheld. Care must be shown with foreign source salary and wage income that may be exempt from tax.</w:t>
            </w:r>
          </w:p>
          <w:p w:rsidR="009650E2" w:rsidRPr="00633A94" w:rsidRDefault="00D820EA" w:rsidP="00B256D3">
            <w:pPr>
              <w:ind w:left="17" w:hanging="17"/>
              <w:rPr>
                <w:rFonts w:cs="Arial"/>
                <w:szCs w:val="20"/>
              </w:rPr>
            </w:pPr>
            <w:r w:rsidRPr="00D820EA">
              <w:rPr>
                <w:rFonts w:cs="Arial"/>
                <w:b/>
                <w:color w:val="000000"/>
                <w:sz w:val="16"/>
                <w:szCs w:val="16"/>
              </w:rPr>
              <w:t>Note</w:t>
            </w:r>
            <w:r w:rsidRPr="00D820EA">
              <w:rPr>
                <w:rFonts w:cs="Arial"/>
                <w:color w:val="000000"/>
                <w:sz w:val="16"/>
                <w:szCs w:val="16"/>
              </w:rPr>
              <w:t xml:space="preserve">: income derived from foreign service lasting greater than 91 consecutive days is </w:t>
            </w:r>
            <w:r w:rsidR="00B256D3">
              <w:rPr>
                <w:rFonts w:cs="Arial"/>
                <w:color w:val="000000"/>
                <w:sz w:val="16"/>
                <w:szCs w:val="16"/>
              </w:rPr>
              <w:t>not</w:t>
            </w:r>
            <w:r w:rsidRPr="00D820EA">
              <w:rPr>
                <w:rFonts w:cs="Arial"/>
                <w:color w:val="000000"/>
                <w:sz w:val="16"/>
                <w:szCs w:val="16"/>
              </w:rPr>
              <w:t xml:space="preserve"> exempt unless the employment is related to specific activities e.g. deployment by the Australian </w:t>
            </w:r>
            <w:r w:rsidR="00B256D3">
              <w:rPr>
                <w:rFonts w:cs="Arial"/>
                <w:color w:val="000000"/>
                <w:sz w:val="16"/>
                <w:szCs w:val="16"/>
              </w:rPr>
              <w:t>Defence Force or Australian Federal Police, or working for certain aid organisations</w:t>
            </w:r>
            <w:r w:rsidRPr="00D820EA">
              <w:rPr>
                <w:rFonts w:cs="Arial"/>
                <w:color w:val="000000"/>
                <w:sz w:val="16"/>
                <w:szCs w:val="16"/>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3668"/>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t>21</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2745C9">
            <w:pPr>
              <w:pStyle w:val="Table"/>
              <w:rPr>
                <w:rFonts w:cs="Arial"/>
                <w:b/>
                <w:sz w:val="20"/>
                <w:szCs w:val="20"/>
              </w:rPr>
            </w:pPr>
            <w:r w:rsidRPr="00D820EA">
              <w:rPr>
                <w:rFonts w:cs="Arial"/>
                <w:b/>
                <w:sz w:val="20"/>
                <w:szCs w:val="20"/>
              </w:rPr>
              <w:t>Rent</w:t>
            </w:r>
          </w:p>
          <w:p w:rsidR="009650E2" w:rsidRPr="00633A94" w:rsidRDefault="00D820EA" w:rsidP="002745C9">
            <w:pPr>
              <w:pStyle w:val="Table"/>
              <w:rPr>
                <w:rFonts w:cs="Arial"/>
                <w:sz w:val="20"/>
                <w:szCs w:val="20"/>
              </w:rPr>
            </w:pPr>
            <w:r w:rsidRPr="00D820EA">
              <w:rPr>
                <w:rFonts w:cs="Arial"/>
                <w:sz w:val="20"/>
                <w:szCs w:val="20"/>
              </w:rPr>
              <w:t>Obtain details of:</w:t>
            </w:r>
          </w:p>
          <w:p w:rsidR="009650E2" w:rsidRPr="00633A94" w:rsidRDefault="00D820EA" w:rsidP="00602CD8">
            <w:pPr>
              <w:pStyle w:val="TableBullet"/>
              <w:numPr>
                <w:ilvl w:val="0"/>
                <w:numId w:val="4"/>
              </w:numPr>
              <w:rPr>
                <w:rFonts w:cs="Arial"/>
                <w:sz w:val="20"/>
                <w:szCs w:val="20"/>
              </w:rPr>
            </w:pPr>
            <w:r w:rsidRPr="00D820EA">
              <w:rPr>
                <w:rFonts w:cs="Arial"/>
                <w:sz w:val="20"/>
                <w:szCs w:val="20"/>
              </w:rPr>
              <w:t>rental income earned</w:t>
            </w:r>
          </w:p>
          <w:p w:rsidR="009650E2" w:rsidRPr="00633A94" w:rsidRDefault="00D820EA" w:rsidP="00602CD8">
            <w:pPr>
              <w:pStyle w:val="TableBullet"/>
              <w:numPr>
                <w:ilvl w:val="0"/>
                <w:numId w:val="4"/>
              </w:numPr>
              <w:rPr>
                <w:rFonts w:cs="Arial"/>
                <w:sz w:val="20"/>
                <w:szCs w:val="20"/>
              </w:rPr>
            </w:pPr>
            <w:r w:rsidRPr="00D820EA">
              <w:rPr>
                <w:rFonts w:cs="Arial"/>
                <w:sz w:val="20"/>
                <w:szCs w:val="20"/>
              </w:rPr>
              <w:t>interest charged on money borrowed for the rental property</w:t>
            </w:r>
          </w:p>
          <w:p w:rsidR="009650E2" w:rsidRPr="00633A94" w:rsidRDefault="00D820EA" w:rsidP="00602CD8">
            <w:pPr>
              <w:pStyle w:val="TableBullet"/>
              <w:numPr>
                <w:ilvl w:val="0"/>
                <w:numId w:val="4"/>
              </w:numPr>
              <w:rPr>
                <w:rFonts w:cs="Arial"/>
                <w:sz w:val="20"/>
                <w:szCs w:val="20"/>
              </w:rPr>
            </w:pPr>
            <w:r w:rsidRPr="00D820EA">
              <w:rPr>
                <w:rFonts w:cs="Arial"/>
                <w:sz w:val="20"/>
                <w:szCs w:val="20"/>
              </w:rPr>
              <w:t>details of other expenses relating to the rental property</w:t>
            </w:r>
          </w:p>
          <w:p w:rsidR="009650E2" w:rsidRPr="00633A94" w:rsidRDefault="00D820EA" w:rsidP="00602CD8">
            <w:pPr>
              <w:pStyle w:val="TableBullet"/>
              <w:numPr>
                <w:ilvl w:val="0"/>
                <w:numId w:val="4"/>
              </w:numPr>
              <w:rPr>
                <w:rFonts w:cs="Arial"/>
                <w:sz w:val="20"/>
                <w:szCs w:val="20"/>
              </w:rPr>
            </w:pPr>
            <w:r w:rsidRPr="00D820EA">
              <w:rPr>
                <w:rFonts w:cs="Arial"/>
                <w:sz w:val="20"/>
                <w:szCs w:val="20"/>
              </w:rPr>
              <w:t>details of any capital works expenditure to the rental property.</w:t>
            </w:r>
          </w:p>
          <w:p w:rsidR="009650E2" w:rsidRPr="00633A94" w:rsidRDefault="00D820EA" w:rsidP="002745C9">
            <w:pPr>
              <w:pStyle w:val="Table"/>
              <w:rPr>
                <w:rFonts w:cs="Arial"/>
                <w:sz w:val="20"/>
                <w:szCs w:val="20"/>
              </w:rPr>
            </w:pPr>
            <w:r w:rsidRPr="00D820EA">
              <w:rPr>
                <w:rFonts w:cs="Arial"/>
                <w:sz w:val="20"/>
                <w:szCs w:val="20"/>
              </w:rPr>
              <w:t>Borrowing costs are claimed over the life of the loan or five years, whichever is the lesser.</w:t>
            </w:r>
          </w:p>
          <w:p w:rsidR="00603329" w:rsidRDefault="00D820EA">
            <w:pPr>
              <w:pStyle w:val="Table"/>
              <w:rPr>
                <w:rFonts w:cs="Arial"/>
                <w:szCs w:val="20"/>
              </w:rPr>
            </w:pPr>
            <w:r w:rsidRPr="00D820EA">
              <w:rPr>
                <w:rFonts w:cs="Arial"/>
                <w:szCs w:val="20"/>
              </w:rPr>
              <w:t>Assess whether the client can claim a deduction for the construction costs of the property, or any structural improvements</w:t>
            </w:r>
            <w:r w:rsidR="00DB0543">
              <w:rPr>
                <w:rFonts w:cs="Arial"/>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tabs>
                <w:tab w:val="center" w:pos="576"/>
              </w:tabs>
              <w:jc w:val="center"/>
              <w:rPr>
                <w:rFonts w:cs="Arial"/>
                <w:b/>
                <w:bCs/>
                <w:szCs w:val="20"/>
              </w:rPr>
            </w:pPr>
            <w:r w:rsidRPr="00D820EA">
              <w:rPr>
                <w:rFonts w:cs="Arial"/>
                <w:b/>
                <w:bCs/>
                <w:szCs w:val="20"/>
              </w:rPr>
              <w:t>22</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2745C9">
            <w:pPr>
              <w:pStyle w:val="Table"/>
              <w:rPr>
                <w:rFonts w:cs="Arial"/>
                <w:b/>
                <w:sz w:val="20"/>
                <w:szCs w:val="20"/>
              </w:rPr>
            </w:pPr>
            <w:r w:rsidRPr="00D820EA">
              <w:rPr>
                <w:rFonts w:cs="Arial"/>
                <w:b/>
                <w:sz w:val="20"/>
                <w:szCs w:val="20"/>
              </w:rPr>
              <w:t>Bonuses from life companies and friendly societies</w:t>
            </w:r>
          </w:p>
          <w:p w:rsidR="009650E2" w:rsidRPr="00633A94" w:rsidRDefault="00D820EA">
            <w:pPr>
              <w:ind w:left="17" w:hanging="17"/>
              <w:rPr>
                <w:rFonts w:cs="Arial"/>
                <w:szCs w:val="20"/>
              </w:rPr>
            </w:pPr>
            <w:r w:rsidRPr="00D820EA">
              <w:rPr>
                <w:rFonts w:cs="Arial"/>
                <w:szCs w:val="20"/>
              </w:rPr>
              <w:t>Obtain documentation regarding bonuses received on insurance bonds issued by life insurers and friendly societies. Bonuses are tax free if cashed in after 10 years. If not, the bonuses may be taxable and a rebate can be claimed.</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lastRenderedPageBreak/>
              <w:t>23</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2745C9">
            <w:pPr>
              <w:pStyle w:val="Table"/>
              <w:keepNext/>
              <w:rPr>
                <w:rFonts w:cs="Arial"/>
                <w:b/>
                <w:sz w:val="20"/>
                <w:szCs w:val="20"/>
              </w:rPr>
            </w:pPr>
            <w:r w:rsidRPr="00D820EA">
              <w:rPr>
                <w:rFonts w:cs="Arial"/>
                <w:b/>
                <w:sz w:val="20"/>
                <w:szCs w:val="20"/>
              </w:rPr>
              <w:t>Forestry managed investment scheme income</w:t>
            </w:r>
          </w:p>
          <w:p w:rsidR="009650E2" w:rsidRPr="00633A94" w:rsidRDefault="00D820EA">
            <w:pPr>
              <w:pStyle w:val="Header"/>
              <w:tabs>
                <w:tab w:val="clear" w:pos="4153"/>
                <w:tab w:val="clear" w:pos="8306"/>
              </w:tabs>
              <w:rPr>
                <w:rFonts w:cs="Arial"/>
                <w:szCs w:val="20"/>
              </w:rPr>
            </w:pPr>
            <w:r w:rsidRPr="00D820EA">
              <w:rPr>
                <w:rFonts w:cs="Arial"/>
                <w:szCs w:val="20"/>
              </w:rPr>
              <w:t>Have managers of forestry schemes included the investors’ contributions in their assessable income in the year in which the deduction is first available to the investor for those contributions?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t>24</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2745C9">
            <w:pPr>
              <w:pStyle w:val="Table"/>
              <w:rPr>
                <w:rFonts w:cs="Arial"/>
                <w:b/>
                <w:sz w:val="20"/>
                <w:szCs w:val="20"/>
              </w:rPr>
            </w:pPr>
            <w:r w:rsidRPr="00D820EA">
              <w:rPr>
                <w:rFonts w:cs="Arial"/>
                <w:b/>
                <w:sz w:val="20"/>
                <w:szCs w:val="20"/>
              </w:rPr>
              <w:t>Other income</w:t>
            </w:r>
          </w:p>
          <w:p w:rsidR="009650E2" w:rsidRPr="00633A94" w:rsidRDefault="00D820EA" w:rsidP="002745C9">
            <w:pPr>
              <w:pStyle w:val="Table"/>
              <w:rPr>
                <w:rFonts w:cs="Arial"/>
                <w:sz w:val="20"/>
                <w:szCs w:val="20"/>
              </w:rPr>
            </w:pPr>
            <w:r w:rsidRPr="00D820EA">
              <w:rPr>
                <w:rFonts w:cs="Arial"/>
                <w:sz w:val="20"/>
                <w:szCs w:val="20"/>
              </w:rPr>
              <w:t>Ask the client whether they received any other benefit / income during the year that has not been discussed. Examples include:</w:t>
            </w:r>
          </w:p>
          <w:p w:rsidR="009650E2" w:rsidRPr="00633A94" w:rsidRDefault="00D820EA" w:rsidP="00602CD8">
            <w:pPr>
              <w:pStyle w:val="TableBullet"/>
              <w:numPr>
                <w:ilvl w:val="0"/>
                <w:numId w:val="4"/>
              </w:numPr>
              <w:rPr>
                <w:rFonts w:cs="Arial"/>
                <w:sz w:val="20"/>
                <w:szCs w:val="20"/>
              </w:rPr>
            </w:pPr>
            <w:r w:rsidRPr="00D820EA">
              <w:rPr>
                <w:rFonts w:cs="Arial"/>
                <w:sz w:val="20"/>
                <w:szCs w:val="20"/>
              </w:rPr>
              <w:t>a non-qualifying component of an ETP</w:t>
            </w:r>
          </w:p>
          <w:p w:rsidR="009650E2" w:rsidRPr="00633A94" w:rsidRDefault="00D820EA" w:rsidP="00602CD8">
            <w:pPr>
              <w:pStyle w:val="TableBullet"/>
              <w:numPr>
                <w:ilvl w:val="0"/>
                <w:numId w:val="4"/>
              </w:numPr>
              <w:rPr>
                <w:rFonts w:cs="Arial"/>
                <w:sz w:val="20"/>
                <w:szCs w:val="20"/>
              </w:rPr>
            </w:pPr>
            <w:r w:rsidRPr="00D820EA">
              <w:rPr>
                <w:rFonts w:cs="Arial"/>
                <w:sz w:val="20"/>
                <w:szCs w:val="20"/>
              </w:rPr>
              <w:t>lump sum payments in arrears</w:t>
            </w:r>
          </w:p>
          <w:p w:rsidR="009650E2" w:rsidRPr="00633A94" w:rsidRDefault="00D820EA" w:rsidP="00602CD8">
            <w:pPr>
              <w:pStyle w:val="TableBullet"/>
              <w:numPr>
                <w:ilvl w:val="0"/>
                <w:numId w:val="4"/>
              </w:numPr>
              <w:rPr>
                <w:rFonts w:cs="Arial"/>
                <w:sz w:val="20"/>
                <w:szCs w:val="20"/>
              </w:rPr>
            </w:pPr>
            <w:r w:rsidRPr="00D820EA">
              <w:rPr>
                <w:rFonts w:cs="Arial"/>
                <w:sz w:val="20"/>
                <w:szCs w:val="20"/>
              </w:rPr>
              <w:t>foreign exchange gains</w:t>
            </w:r>
          </w:p>
          <w:p w:rsidR="009650E2" w:rsidRPr="00633A94" w:rsidRDefault="00D820EA" w:rsidP="00602CD8">
            <w:pPr>
              <w:pStyle w:val="TableBullet"/>
              <w:numPr>
                <w:ilvl w:val="0"/>
                <w:numId w:val="4"/>
              </w:numPr>
              <w:rPr>
                <w:rFonts w:cs="Arial"/>
                <w:sz w:val="20"/>
                <w:szCs w:val="20"/>
              </w:rPr>
            </w:pPr>
            <w:r w:rsidRPr="00D820EA">
              <w:rPr>
                <w:rFonts w:cs="Arial"/>
                <w:sz w:val="20"/>
                <w:szCs w:val="20"/>
              </w:rPr>
              <w:t>royalties</w:t>
            </w:r>
          </w:p>
          <w:p w:rsidR="009650E2" w:rsidRPr="00633A94" w:rsidRDefault="00731A8C" w:rsidP="00602CD8">
            <w:pPr>
              <w:pStyle w:val="TableBullet"/>
              <w:numPr>
                <w:ilvl w:val="0"/>
                <w:numId w:val="4"/>
              </w:numPr>
              <w:rPr>
                <w:rFonts w:cs="Arial"/>
                <w:sz w:val="20"/>
                <w:szCs w:val="20"/>
              </w:rPr>
            </w:pPr>
            <w:r>
              <w:rPr>
                <w:rFonts w:cs="Arial"/>
                <w:sz w:val="20"/>
                <w:szCs w:val="20"/>
              </w:rPr>
              <w:t xml:space="preserve">certain </w:t>
            </w:r>
            <w:r w:rsidR="00D820EA" w:rsidRPr="00D820EA">
              <w:rPr>
                <w:rFonts w:cs="Arial"/>
                <w:sz w:val="20"/>
                <w:szCs w:val="20"/>
              </w:rPr>
              <w:t>scholarships, bursaries, grants</w:t>
            </w:r>
          </w:p>
          <w:p w:rsidR="009650E2" w:rsidRPr="00633A94" w:rsidRDefault="00D820EA" w:rsidP="00602CD8">
            <w:pPr>
              <w:pStyle w:val="TableBullet"/>
              <w:numPr>
                <w:ilvl w:val="0"/>
                <w:numId w:val="4"/>
              </w:numPr>
              <w:rPr>
                <w:rFonts w:cs="Arial"/>
                <w:sz w:val="20"/>
                <w:szCs w:val="20"/>
              </w:rPr>
            </w:pPr>
            <w:r w:rsidRPr="00D820EA">
              <w:rPr>
                <w:rFonts w:cs="Arial"/>
                <w:sz w:val="20"/>
                <w:szCs w:val="20"/>
              </w:rPr>
              <w:t>any assessable balancing adjustments on depreciating assets</w:t>
            </w:r>
          </w:p>
          <w:p w:rsidR="009650E2" w:rsidRPr="00633A94" w:rsidRDefault="00D820EA" w:rsidP="00602CD8">
            <w:pPr>
              <w:pStyle w:val="bullet10"/>
              <w:numPr>
                <w:ilvl w:val="0"/>
                <w:numId w:val="4"/>
              </w:numPr>
              <w:rPr>
                <w:rFonts w:cs="Arial"/>
              </w:rPr>
            </w:pPr>
            <w:r w:rsidRPr="00D820EA">
              <w:rPr>
                <w:rFonts w:cs="Arial"/>
              </w:rPr>
              <w:t>jury service fees.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Pr>
        <w:tc>
          <w:tcPr>
            <w:tcW w:w="10712" w:type="dxa"/>
            <w:gridSpan w:val="5"/>
            <w:tcBorders>
              <w:top w:val="single" w:sz="4" w:space="0" w:color="auto"/>
              <w:left w:val="single" w:sz="4" w:space="0" w:color="auto"/>
              <w:bottom w:val="single" w:sz="4" w:space="0" w:color="auto"/>
              <w:right w:val="single" w:sz="4" w:space="0" w:color="auto"/>
            </w:tcBorders>
            <w:shd w:val="clear" w:color="auto" w:fill="404040"/>
            <w:tcMar>
              <w:bottom w:w="113" w:type="dxa"/>
            </w:tcMar>
            <w:vAlign w:val="center"/>
          </w:tcPr>
          <w:p w:rsidR="00D820EA" w:rsidRDefault="00D820EA" w:rsidP="00D820EA">
            <w:pPr>
              <w:pStyle w:val="Tableheading"/>
              <w:spacing w:before="40" w:after="40"/>
              <w:rPr>
                <w:rFonts w:cs="Arial"/>
                <w:color w:val="FFFFFF"/>
                <w:szCs w:val="20"/>
              </w:rPr>
            </w:pPr>
            <w:r w:rsidRPr="00D820EA">
              <w:rPr>
                <w:rFonts w:cs="Arial"/>
                <w:b w:val="0"/>
                <w:color w:val="FFFFFF"/>
                <w:szCs w:val="20"/>
              </w:rPr>
              <w:t>Deductions</w:t>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lastRenderedPageBreak/>
              <w:t>D1</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Work related car expenses</w:t>
            </w:r>
          </w:p>
          <w:p w:rsidR="009650E2" w:rsidRPr="00633A94" w:rsidRDefault="00D820EA" w:rsidP="00E03687">
            <w:pPr>
              <w:pStyle w:val="Table"/>
              <w:rPr>
                <w:rFonts w:cs="Arial"/>
                <w:sz w:val="20"/>
                <w:szCs w:val="20"/>
              </w:rPr>
            </w:pPr>
            <w:r w:rsidRPr="00D820EA">
              <w:rPr>
                <w:rFonts w:cs="Arial"/>
                <w:sz w:val="20"/>
                <w:szCs w:val="20"/>
              </w:rPr>
              <w:t>The four methods available are:</w:t>
            </w:r>
          </w:p>
          <w:p w:rsidR="009650E2" w:rsidRPr="00633A94" w:rsidRDefault="00D820EA" w:rsidP="00E03687">
            <w:pPr>
              <w:pStyle w:val="Table"/>
              <w:rPr>
                <w:rFonts w:cs="Arial"/>
                <w:b/>
                <w:sz w:val="20"/>
                <w:szCs w:val="20"/>
              </w:rPr>
            </w:pPr>
            <w:r w:rsidRPr="00D820EA">
              <w:rPr>
                <w:rFonts w:cs="Arial"/>
                <w:b/>
                <w:sz w:val="20"/>
                <w:szCs w:val="20"/>
              </w:rPr>
              <w:t>1. Cents per kilometre method</w:t>
            </w:r>
          </w:p>
          <w:p w:rsidR="009650E2" w:rsidRPr="00633A94" w:rsidRDefault="00D820EA" w:rsidP="00E03687">
            <w:pPr>
              <w:pStyle w:val="Table"/>
              <w:ind w:right="-57"/>
              <w:rPr>
                <w:rFonts w:cs="Arial"/>
                <w:sz w:val="20"/>
                <w:szCs w:val="20"/>
              </w:rPr>
            </w:pPr>
            <w:r w:rsidRPr="00D820EA">
              <w:rPr>
                <w:rFonts w:cs="Arial"/>
                <w:sz w:val="20"/>
                <w:szCs w:val="20"/>
              </w:rPr>
              <w:t xml:space="preserve">The claim is based on a set rate for each business kilometre travelled. Rates are based on the vehicle’s engine capacity. The taxpayer is able to claim costs by applying the set rate up to a maximum of 5,000 kilometres. The rates for </w:t>
            </w:r>
            <w:r w:rsidR="00B256D3">
              <w:rPr>
                <w:rFonts w:cs="Arial"/>
                <w:sz w:val="20"/>
                <w:szCs w:val="20"/>
              </w:rPr>
              <w:t>201</w:t>
            </w:r>
            <w:r w:rsidR="00F86D41">
              <w:rPr>
                <w:rFonts w:cs="Arial"/>
                <w:sz w:val="20"/>
                <w:szCs w:val="20"/>
              </w:rPr>
              <w:t>5</w:t>
            </w:r>
            <w:r w:rsidR="00B256D3" w:rsidRPr="00D820EA">
              <w:rPr>
                <w:rFonts w:cs="Arial"/>
                <w:sz w:val="20"/>
                <w:szCs w:val="20"/>
              </w:rPr>
              <w:t xml:space="preserve"> </w:t>
            </w:r>
            <w:r w:rsidRPr="00D820EA">
              <w:rPr>
                <w:rFonts w:cs="Arial"/>
                <w:sz w:val="20"/>
                <w:szCs w:val="20"/>
              </w:rPr>
              <w:t>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6"/>
              <w:gridCol w:w="2637"/>
            </w:tblGrid>
            <w:tr w:rsidR="009650E2" w:rsidRPr="00633A94" w:rsidTr="00180711">
              <w:trPr>
                <w:trHeight w:val="577"/>
              </w:trPr>
              <w:tc>
                <w:tcPr>
                  <w:tcW w:w="2636" w:type="dxa"/>
                  <w:shd w:val="clear" w:color="auto" w:fill="262626"/>
                </w:tcPr>
                <w:p w:rsidR="00603329" w:rsidRDefault="00D820EA">
                  <w:pPr>
                    <w:jc w:val="center"/>
                    <w:rPr>
                      <w:rFonts w:cs="Arial"/>
                      <w:szCs w:val="20"/>
                    </w:rPr>
                  </w:pPr>
                  <w:r w:rsidRPr="00D820EA">
                    <w:rPr>
                      <w:rFonts w:cs="Arial"/>
                      <w:szCs w:val="20"/>
                    </w:rPr>
                    <w:t>Engine capacity (non-rotary)</w:t>
                  </w:r>
                </w:p>
              </w:tc>
              <w:tc>
                <w:tcPr>
                  <w:tcW w:w="2637" w:type="dxa"/>
                  <w:shd w:val="clear" w:color="auto" w:fill="262626"/>
                </w:tcPr>
                <w:p w:rsidR="009650E2" w:rsidRPr="00633A94" w:rsidRDefault="00D820EA" w:rsidP="00E03687">
                  <w:pPr>
                    <w:pStyle w:val="Tableheading"/>
                    <w:spacing w:before="40" w:after="40"/>
                    <w:rPr>
                      <w:rFonts w:cs="Arial"/>
                      <w:sz w:val="20"/>
                      <w:szCs w:val="20"/>
                    </w:rPr>
                  </w:pPr>
                  <w:r w:rsidRPr="00D820EA">
                    <w:rPr>
                      <w:rFonts w:cs="Arial"/>
                      <w:sz w:val="20"/>
                      <w:szCs w:val="20"/>
                    </w:rPr>
                    <w:t>Rate per kilometre</w:t>
                  </w:r>
                </w:p>
              </w:tc>
            </w:tr>
            <w:tr w:rsidR="009650E2" w:rsidRPr="00633A94" w:rsidTr="00DB0543">
              <w:trPr>
                <w:trHeight w:val="342"/>
              </w:trPr>
              <w:tc>
                <w:tcPr>
                  <w:tcW w:w="2636" w:type="dxa"/>
                </w:tcPr>
                <w:p w:rsidR="009650E2" w:rsidRPr="00633A94" w:rsidRDefault="00D820EA" w:rsidP="00E03687">
                  <w:pPr>
                    <w:pStyle w:val="Table"/>
                    <w:spacing w:before="50" w:after="50"/>
                    <w:rPr>
                      <w:rFonts w:cs="Arial"/>
                      <w:sz w:val="20"/>
                      <w:szCs w:val="20"/>
                    </w:rPr>
                  </w:pPr>
                  <w:r w:rsidRPr="00D820EA">
                    <w:rPr>
                      <w:rFonts w:cs="Arial"/>
                      <w:sz w:val="20"/>
                      <w:szCs w:val="20"/>
                    </w:rPr>
                    <w:t>Up to 1600cc</w:t>
                  </w:r>
                </w:p>
              </w:tc>
              <w:tc>
                <w:tcPr>
                  <w:tcW w:w="2637" w:type="dxa"/>
                </w:tcPr>
                <w:p w:rsidR="009650E2" w:rsidRPr="00633A94" w:rsidRDefault="00B256D3" w:rsidP="00E03687">
                  <w:pPr>
                    <w:pStyle w:val="Table"/>
                    <w:spacing w:before="50" w:after="50"/>
                    <w:rPr>
                      <w:rFonts w:cs="Arial"/>
                      <w:sz w:val="20"/>
                      <w:szCs w:val="20"/>
                    </w:rPr>
                  </w:pPr>
                  <w:r>
                    <w:rPr>
                      <w:rFonts w:cs="Arial"/>
                      <w:sz w:val="20"/>
                      <w:szCs w:val="20"/>
                    </w:rPr>
                    <w:t>65</w:t>
                  </w:r>
                  <w:r w:rsidRPr="00D820EA">
                    <w:rPr>
                      <w:rFonts w:cs="Arial"/>
                      <w:sz w:val="20"/>
                      <w:szCs w:val="20"/>
                    </w:rPr>
                    <w:t xml:space="preserve"> </w:t>
                  </w:r>
                  <w:r w:rsidR="00D820EA" w:rsidRPr="00D820EA">
                    <w:rPr>
                      <w:rFonts w:cs="Arial"/>
                      <w:sz w:val="20"/>
                      <w:szCs w:val="20"/>
                    </w:rPr>
                    <w:t>cents</w:t>
                  </w:r>
                </w:p>
              </w:tc>
            </w:tr>
            <w:tr w:rsidR="009650E2" w:rsidRPr="00633A94" w:rsidTr="00DB0543">
              <w:trPr>
                <w:trHeight w:val="342"/>
              </w:trPr>
              <w:tc>
                <w:tcPr>
                  <w:tcW w:w="2636" w:type="dxa"/>
                </w:tcPr>
                <w:p w:rsidR="009650E2" w:rsidRPr="00633A94" w:rsidRDefault="00D820EA" w:rsidP="00E03687">
                  <w:pPr>
                    <w:pStyle w:val="Table"/>
                    <w:spacing w:before="50" w:after="50"/>
                    <w:rPr>
                      <w:rFonts w:cs="Arial"/>
                      <w:sz w:val="20"/>
                      <w:szCs w:val="20"/>
                    </w:rPr>
                  </w:pPr>
                  <w:r w:rsidRPr="00D820EA">
                    <w:rPr>
                      <w:rFonts w:cs="Arial"/>
                      <w:sz w:val="20"/>
                      <w:szCs w:val="20"/>
                    </w:rPr>
                    <w:t>1,601 to 2,600cc</w:t>
                  </w:r>
                </w:p>
              </w:tc>
              <w:tc>
                <w:tcPr>
                  <w:tcW w:w="2637" w:type="dxa"/>
                </w:tcPr>
                <w:p w:rsidR="009650E2" w:rsidRPr="00633A94" w:rsidRDefault="00B256D3" w:rsidP="00E03687">
                  <w:pPr>
                    <w:pStyle w:val="Table"/>
                    <w:spacing w:before="50" w:after="50"/>
                    <w:rPr>
                      <w:rFonts w:cs="Arial"/>
                      <w:sz w:val="20"/>
                      <w:szCs w:val="20"/>
                    </w:rPr>
                  </w:pPr>
                  <w:r>
                    <w:rPr>
                      <w:rFonts w:cs="Arial"/>
                      <w:sz w:val="20"/>
                      <w:szCs w:val="20"/>
                    </w:rPr>
                    <w:t>76</w:t>
                  </w:r>
                  <w:r w:rsidRPr="00D820EA">
                    <w:rPr>
                      <w:rFonts w:cs="Arial"/>
                      <w:sz w:val="20"/>
                      <w:szCs w:val="20"/>
                    </w:rPr>
                    <w:t xml:space="preserve"> </w:t>
                  </w:r>
                  <w:r w:rsidR="00D820EA" w:rsidRPr="00D820EA">
                    <w:rPr>
                      <w:rFonts w:cs="Arial"/>
                      <w:sz w:val="20"/>
                      <w:szCs w:val="20"/>
                    </w:rPr>
                    <w:t>cents</w:t>
                  </w:r>
                </w:p>
              </w:tc>
            </w:tr>
            <w:tr w:rsidR="009650E2" w:rsidRPr="00633A94" w:rsidTr="00DB0543">
              <w:trPr>
                <w:trHeight w:val="361"/>
              </w:trPr>
              <w:tc>
                <w:tcPr>
                  <w:tcW w:w="2636" w:type="dxa"/>
                </w:tcPr>
                <w:p w:rsidR="009650E2" w:rsidRPr="00633A94" w:rsidRDefault="00D820EA" w:rsidP="00E03687">
                  <w:pPr>
                    <w:pStyle w:val="Table"/>
                    <w:spacing w:before="50" w:after="50"/>
                    <w:rPr>
                      <w:rFonts w:cs="Arial"/>
                      <w:sz w:val="20"/>
                      <w:szCs w:val="20"/>
                    </w:rPr>
                  </w:pPr>
                  <w:r w:rsidRPr="00D820EA">
                    <w:rPr>
                      <w:rFonts w:cs="Arial"/>
                      <w:sz w:val="20"/>
                      <w:szCs w:val="20"/>
                    </w:rPr>
                    <w:t>Over 2,600cc</w:t>
                  </w:r>
                </w:p>
              </w:tc>
              <w:tc>
                <w:tcPr>
                  <w:tcW w:w="2637" w:type="dxa"/>
                </w:tcPr>
                <w:p w:rsidR="009650E2" w:rsidRPr="00633A94" w:rsidRDefault="00B256D3" w:rsidP="00E03687">
                  <w:pPr>
                    <w:pStyle w:val="Table"/>
                    <w:spacing w:before="50" w:after="50"/>
                    <w:rPr>
                      <w:rFonts w:cs="Arial"/>
                      <w:sz w:val="20"/>
                      <w:szCs w:val="20"/>
                    </w:rPr>
                  </w:pPr>
                  <w:r>
                    <w:rPr>
                      <w:rFonts w:cs="Arial"/>
                      <w:sz w:val="20"/>
                      <w:szCs w:val="20"/>
                    </w:rPr>
                    <w:t>77</w:t>
                  </w:r>
                  <w:r w:rsidRPr="00D820EA">
                    <w:rPr>
                      <w:rFonts w:cs="Arial"/>
                      <w:sz w:val="20"/>
                      <w:szCs w:val="20"/>
                    </w:rPr>
                    <w:t xml:space="preserve"> </w:t>
                  </w:r>
                  <w:r w:rsidR="00D820EA" w:rsidRPr="00D820EA">
                    <w:rPr>
                      <w:rFonts w:cs="Arial"/>
                      <w:sz w:val="20"/>
                      <w:szCs w:val="20"/>
                    </w:rPr>
                    <w:t>cents</w:t>
                  </w:r>
                </w:p>
              </w:tc>
            </w:tr>
          </w:tbl>
          <w:p w:rsidR="00603329" w:rsidRDefault="00603329">
            <w:pPr>
              <w:pStyle w:val="Table"/>
              <w:pBdr>
                <w:right w:val="single" w:sz="4" w:space="4" w:color="auto"/>
              </w:pBdr>
              <w:spacing w:before="0" w:after="0"/>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746"/>
            </w:tblGrid>
            <w:tr w:rsidR="00180711" w:rsidRPr="00633A94" w:rsidTr="00180711">
              <w:trPr>
                <w:trHeight w:val="387"/>
              </w:trPr>
              <w:tc>
                <w:tcPr>
                  <w:tcW w:w="2518" w:type="dxa"/>
                  <w:shd w:val="clear" w:color="auto" w:fill="262626"/>
                </w:tcPr>
                <w:p w:rsidR="00603329" w:rsidRDefault="00180711">
                  <w:pPr>
                    <w:pStyle w:val="Table"/>
                    <w:pBdr>
                      <w:right w:val="single" w:sz="4" w:space="4" w:color="auto"/>
                    </w:pBdr>
                    <w:spacing w:before="50" w:after="50"/>
                    <w:rPr>
                      <w:rFonts w:cs="Arial"/>
                      <w:sz w:val="20"/>
                      <w:szCs w:val="20"/>
                    </w:rPr>
                  </w:pPr>
                  <w:r w:rsidRPr="00180711">
                    <w:rPr>
                      <w:rFonts w:cs="Arial"/>
                      <w:color w:val="FFFFFF"/>
                      <w:sz w:val="20"/>
                      <w:szCs w:val="20"/>
                    </w:rPr>
                    <w:t>Engine capacity (rotary)</w:t>
                  </w:r>
                </w:p>
              </w:tc>
              <w:tc>
                <w:tcPr>
                  <w:tcW w:w="2746" w:type="dxa"/>
                  <w:shd w:val="clear" w:color="auto" w:fill="262626"/>
                </w:tcPr>
                <w:p w:rsidR="00603329" w:rsidRDefault="00180711">
                  <w:pPr>
                    <w:pStyle w:val="Table"/>
                    <w:pBdr>
                      <w:right w:val="single" w:sz="4" w:space="4" w:color="auto"/>
                    </w:pBdr>
                    <w:spacing w:before="50" w:after="50"/>
                    <w:rPr>
                      <w:rFonts w:cs="Arial"/>
                      <w:sz w:val="20"/>
                      <w:szCs w:val="20"/>
                    </w:rPr>
                  </w:pPr>
                  <w:r w:rsidRPr="00180711">
                    <w:rPr>
                      <w:rFonts w:cs="Arial"/>
                      <w:color w:val="FFFFFF"/>
                      <w:sz w:val="20"/>
                      <w:szCs w:val="20"/>
                    </w:rPr>
                    <w:t>Rate per kilometre</w:t>
                  </w:r>
                </w:p>
              </w:tc>
            </w:tr>
            <w:tr w:rsidR="00180711" w:rsidRPr="00633A94" w:rsidTr="00180711">
              <w:trPr>
                <w:trHeight w:val="407"/>
              </w:trPr>
              <w:tc>
                <w:tcPr>
                  <w:tcW w:w="2518" w:type="dxa"/>
                </w:tcPr>
                <w:p w:rsidR="00603329" w:rsidRDefault="00180711">
                  <w:pPr>
                    <w:pStyle w:val="Table"/>
                    <w:pBdr>
                      <w:right w:val="single" w:sz="4" w:space="4" w:color="auto"/>
                    </w:pBdr>
                    <w:spacing w:before="50" w:after="50"/>
                    <w:rPr>
                      <w:rFonts w:cs="Arial"/>
                      <w:sz w:val="20"/>
                      <w:szCs w:val="20"/>
                    </w:rPr>
                  </w:pPr>
                  <w:r w:rsidRPr="009A3B7F">
                    <w:rPr>
                      <w:rFonts w:cs="Arial"/>
                      <w:sz w:val="20"/>
                      <w:szCs w:val="20"/>
                    </w:rPr>
                    <w:t>Up to 800cc</w:t>
                  </w:r>
                </w:p>
              </w:tc>
              <w:tc>
                <w:tcPr>
                  <w:tcW w:w="2746" w:type="dxa"/>
                </w:tcPr>
                <w:p w:rsidR="00603329" w:rsidRDefault="00EB39AD">
                  <w:pPr>
                    <w:pStyle w:val="Table"/>
                    <w:pBdr>
                      <w:right w:val="single" w:sz="4" w:space="4" w:color="auto"/>
                    </w:pBdr>
                    <w:spacing w:before="50" w:after="50"/>
                    <w:rPr>
                      <w:rFonts w:cs="Arial"/>
                      <w:sz w:val="20"/>
                      <w:szCs w:val="20"/>
                    </w:rPr>
                  </w:pPr>
                  <w:r>
                    <w:rPr>
                      <w:rFonts w:cs="Arial"/>
                      <w:sz w:val="20"/>
                      <w:szCs w:val="20"/>
                    </w:rPr>
                    <w:t>65</w:t>
                  </w:r>
                  <w:r w:rsidRPr="009A3B7F">
                    <w:rPr>
                      <w:rFonts w:cs="Arial"/>
                      <w:sz w:val="20"/>
                      <w:szCs w:val="20"/>
                    </w:rPr>
                    <w:t xml:space="preserve"> </w:t>
                  </w:r>
                  <w:r w:rsidR="00180711" w:rsidRPr="009A3B7F">
                    <w:rPr>
                      <w:rFonts w:cs="Arial"/>
                      <w:sz w:val="20"/>
                      <w:szCs w:val="20"/>
                    </w:rPr>
                    <w:t>cents</w:t>
                  </w:r>
                </w:p>
              </w:tc>
            </w:tr>
            <w:tr w:rsidR="00180711" w:rsidRPr="00633A94" w:rsidTr="00180711">
              <w:trPr>
                <w:trHeight w:val="407"/>
              </w:trPr>
              <w:tc>
                <w:tcPr>
                  <w:tcW w:w="2518" w:type="dxa"/>
                </w:tcPr>
                <w:p w:rsidR="00603329" w:rsidRDefault="00180711">
                  <w:pPr>
                    <w:pStyle w:val="Table"/>
                    <w:pBdr>
                      <w:right w:val="single" w:sz="4" w:space="4" w:color="auto"/>
                    </w:pBdr>
                    <w:spacing w:before="50" w:after="50"/>
                    <w:rPr>
                      <w:rFonts w:cs="Arial"/>
                      <w:sz w:val="20"/>
                      <w:szCs w:val="20"/>
                    </w:rPr>
                  </w:pPr>
                  <w:r w:rsidRPr="009A3B7F">
                    <w:rPr>
                      <w:rFonts w:cs="Arial"/>
                      <w:sz w:val="20"/>
                      <w:szCs w:val="20"/>
                    </w:rPr>
                    <w:t>801 to 1,300cc</w:t>
                  </w:r>
                </w:p>
              </w:tc>
              <w:tc>
                <w:tcPr>
                  <w:tcW w:w="2746" w:type="dxa"/>
                </w:tcPr>
                <w:p w:rsidR="00603329" w:rsidRDefault="00EB39AD">
                  <w:pPr>
                    <w:pStyle w:val="Table"/>
                    <w:pBdr>
                      <w:right w:val="single" w:sz="4" w:space="4" w:color="auto"/>
                    </w:pBdr>
                    <w:spacing w:before="50" w:after="50"/>
                    <w:rPr>
                      <w:rFonts w:cs="Arial"/>
                      <w:sz w:val="20"/>
                      <w:szCs w:val="20"/>
                    </w:rPr>
                  </w:pPr>
                  <w:r>
                    <w:rPr>
                      <w:rFonts w:cs="Arial"/>
                      <w:sz w:val="20"/>
                      <w:szCs w:val="20"/>
                    </w:rPr>
                    <w:t>76</w:t>
                  </w:r>
                  <w:r w:rsidRPr="009A3B7F">
                    <w:rPr>
                      <w:rFonts w:cs="Arial"/>
                      <w:sz w:val="20"/>
                      <w:szCs w:val="20"/>
                    </w:rPr>
                    <w:t xml:space="preserve"> </w:t>
                  </w:r>
                  <w:r w:rsidR="00180711" w:rsidRPr="009A3B7F">
                    <w:rPr>
                      <w:rFonts w:cs="Arial"/>
                      <w:sz w:val="20"/>
                      <w:szCs w:val="20"/>
                    </w:rPr>
                    <w:t>cents</w:t>
                  </w:r>
                </w:p>
              </w:tc>
            </w:tr>
            <w:tr w:rsidR="00180711" w:rsidRPr="00633A94" w:rsidTr="00180711">
              <w:trPr>
                <w:trHeight w:val="407"/>
              </w:trPr>
              <w:tc>
                <w:tcPr>
                  <w:tcW w:w="2518" w:type="dxa"/>
                </w:tcPr>
                <w:p w:rsidR="00180711" w:rsidRPr="009A3B7F" w:rsidRDefault="00180711" w:rsidP="00DB0543">
                  <w:pPr>
                    <w:pStyle w:val="Table"/>
                    <w:pBdr>
                      <w:right w:val="single" w:sz="4" w:space="4" w:color="auto"/>
                    </w:pBdr>
                    <w:spacing w:before="50" w:after="50"/>
                    <w:rPr>
                      <w:rFonts w:cs="Arial"/>
                      <w:sz w:val="20"/>
                      <w:szCs w:val="20"/>
                    </w:rPr>
                  </w:pPr>
                  <w:r w:rsidRPr="009A3B7F">
                    <w:rPr>
                      <w:rFonts w:cs="Arial"/>
                      <w:sz w:val="20"/>
                      <w:szCs w:val="20"/>
                    </w:rPr>
                    <w:t>Over 1,300cc</w:t>
                  </w:r>
                </w:p>
              </w:tc>
              <w:tc>
                <w:tcPr>
                  <w:tcW w:w="2746" w:type="dxa"/>
                </w:tcPr>
                <w:p w:rsidR="00180711" w:rsidRPr="009A3B7F" w:rsidRDefault="00EB39AD" w:rsidP="00DB0543">
                  <w:pPr>
                    <w:pStyle w:val="Table"/>
                    <w:pBdr>
                      <w:right w:val="single" w:sz="4" w:space="4" w:color="auto"/>
                    </w:pBdr>
                    <w:spacing w:before="50" w:after="50"/>
                    <w:rPr>
                      <w:rFonts w:cs="Arial"/>
                      <w:sz w:val="20"/>
                      <w:szCs w:val="20"/>
                    </w:rPr>
                  </w:pPr>
                  <w:r>
                    <w:rPr>
                      <w:rFonts w:cs="Arial"/>
                      <w:sz w:val="20"/>
                      <w:szCs w:val="20"/>
                    </w:rPr>
                    <w:t>77</w:t>
                  </w:r>
                  <w:r w:rsidRPr="009A3B7F">
                    <w:rPr>
                      <w:rFonts w:cs="Arial"/>
                      <w:sz w:val="20"/>
                      <w:szCs w:val="20"/>
                    </w:rPr>
                    <w:t xml:space="preserve"> </w:t>
                  </w:r>
                  <w:r w:rsidR="00180711" w:rsidRPr="009A3B7F">
                    <w:rPr>
                      <w:rFonts w:cs="Arial"/>
                      <w:sz w:val="20"/>
                      <w:szCs w:val="20"/>
                    </w:rPr>
                    <w:t>cents</w:t>
                  </w:r>
                </w:p>
              </w:tc>
            </w:tr>
          </w:tbl>
          <w:p w:rsidR="009650E2" w:rsidRPr="00633A94" w:rsidRDefault="009650E2" w:rsidP="00E03687">
            <w:pPr>
              <w:pStyle w:val="Between"/>
              <w:spacing w:before="0" w:after="0"/>
              <w:rPr>
                <w:rFonts w:cs="Arial"/>
                <w:sz w:val="20"/>
                <w:szCs w:val="20"/>
              </w:rPr>
            </w:pPr>
          </w:p>
          <w:p w:rsidR="009650E2" w:rsidRPr="00633A94" w:rsidRDefault="00D820EA" w:rsidP="00F86D41">
            <w:pPr>
              <w:pStyle w:val="TableBullet"/>
              <w:numPr>
                <w:ilvl w:val="0"/>
                <w:numId w:val="0"/>
              </w:numPr>
              <w:rPr>
                <w:rFonts w:cs="Arial"/>
                <w:b/>
                <w:sz w:val="20"/>
                <w:szCs w:val="20"/>
              </w:rPr>
            </w:pPr>
            <w:r w:rsidRPr="00D820EA">
              <w:rPr>
                <w:rFonts w:cs="Arial"/>
                <w:sz w:val="20"/>
                <w:szCs w:val="20"/>
              </w:rPr>
              <w:t xml:space="preserve"> </w:t>
            </w:r>
            <w:r w:rsidRPr="00D820EA">
              <w:rPr>
                <w:rFonts w:cs="Arial"/>
                <w:b/>
                <w:sz w:val="20"/>
                <w:szCs w:val="20"/>
              </w:rPr>
              <w:t>2. 12% of original value method</w:t>
            </w:r>
          </w:p>
          <w:p w:rsidR="009650E2" w:rsidRPr="00633A94" w:rsidRDefault="00D820EA" w:rsidP="00E03687">
            <w:pPr>
              <w:pStyle w:val="Table"/>
              <w:rPr>
                <w:rFonts w:cs="Arial"/>
                <w:sz w:val="20"/>
                <w:szCs w:val="20"/>
              </w:rPr>
            </w:pPr>
            <w:r w:rsidRPr="00D820EA">
              <w:rPr>
                <w:rFonts w:cs="Arial"/>
                <w:sz w:val="20"/>
                <w:szCs w:val="20"/>
              </w:rPr>
              <w:t>The claim is based on 12% of the original value of the car. Maximum car value that can be claimed is $57,466.</w:t>
            </w:r>
          </w:p>
          <w:p w:rsidR="009650E2" w:rsidRPr="00633A94" w:rsidRDefault="00D820EA" w:rsidP="00E03687">
            <w:pPr>
              <w:pStyle w:val="Table"/>
              <w:rPr>
                <w:rFonts w:cs="Arial"/>
                <w:sz w:val="20"/>
                <w:szCs w:val="20"/>
              </w:rPr>
            </w:pPr>
            <w:r w:rsidRPr="00D820EA">
              <w:rPr>
                <w:rFonts w:cs="Arial"/>
                <w:sz w:val="20"/>
                <w:szCs w:val="20"/>
              </w:rPr>
              <w:t>The taxpayer’s car must have travelled greater than 5,000 business kilometres.</w:t>
            </w:r>
          </w:p>
          <w:p w:rsidR="009650E2" w:rsidRPr="00633A94" w:rsidRDefault="00D820EA" w:rsidP="00E03687">
            <w:pPr>
              <w:pStyle w:val="Table"/>
              <w:rPr>
                <w:rFonts w:cs="Arial"/>
                <w:b/>
                <w:sz w:val="20"/>
                <w:szCs w:val="20"/>
              </w:rPr>
            </w:pPr>
            <w:r w:rsidRPr="00D820EA">
              <w:rPr>
                <w:rFonts w:cs="Arial"/>
                <w:b/>
                <w:sz w:val="20"/>
                <w:szCs w:val="20"/>
              </w:rPr>
              <w:t>3. One-third of actual expenses method</w:t>
            </w:r>
          </w:p>
          <w:p w:rsidR="009650E2" w:rsidRPr="00633A94" w:rsidRDefault="00D820EA" w:rsidP="00E03687">
            <w:pPr>
              <w:pStyle w:val="Table"/>
              <w:rPr>
                <w:rFonts w:cs="Arial"/>
                <w:sz w:val="20"/>
                <w:szCs w:val="20"/>
              </w:rPr>
            </w:pPr>
            <w:r w:rsidRPr="00D820EA">
              <w:rPr>
                <w:rFonts w:cs="Arial"/>
                <w:sz w:val="20"/>
                <w:szCs w:val="20"/>
              </w:rPr>
              <w:t>The claim is based on one third of car expenses. Examples of car expenses include fuel, repairs, maintenance, registration, lease costs, depreciation, interest on borrowings, car washing and parking.</w:t>
            </w:r>
          </w:p>
          <w:p w:rsidR="009650E2" w:rsidRPr="00633A94" w:rsidRDefault="00D820EA" w:rsidP="00E03687">
            <w:pPr>
              <w:pStyle w:val="Table"/>
              <w:rPr>
                <w:rFonts w:cs="Arial"/>
                <w:sz w:val="20"/>
                <w:szCs w:val="20"/>
              </w:rPr>
            </w:pPr>
            <w:r w:rsidRPr="00D820EA">
              <w:rPr>
                <w:rFonts w:cs="Arial"/>
                <w:sz w:val="20"/>
                <w:szCs w:val="20"/>
              </w:rPr>
              <w:t>The taxpayer’s car must have travelled greater than 5,000 business kilometres.</w:t>
            </w:r>
          </w:p>
          <w:p w:rsidR="009650E2" w:rsidRPr="00633A94" w:rsidRDefault="00D820EA" w:rsidP="00E03687">
            <w:pPr>
              <w:pStyle w:val="Table"/>
              <w:rPr>
                <w:rFonts w:cs="Arial"/>
                <w:b/>
                <w:sz w:val="20"/>
                <w:szCs w:val="20"/>
              </w:rPr>
            </w:pPr>
            <w:r w:rsidRPr="00D820EA">
              <w:rPr>
                <w:rFonts w:cs="Arial"/>
                <w:b/>
                <w:sz w:val="20"/>
                <w:szCs w:val="20"/>
              </w:rPr>
              <w:t>4. Logbook method</w:t>
            </w:r>
          </w:p>
          <w:p w:rsidR="009650E2" w:rsidRPr="00633A94" w:rsidRDefault="00D820EA" w:rsidP="002745C9">
            <w:pPr>
              <w:pStyle w:val="Table"/>
              <w:rPr>
                <w:rFonts w:cs="Arial"/>
                <w:b/>
                <w:sz w:val="20"/>
                <w:szCs w:val="20"/>
              </w:rPr>
            </w:pPr>
            <w:r w:rsidRPr="00D820EA">
              <w:rPr>
                <w:rFonts w:cs="Arial"/>
                <w:sz w:val="20"/>
                <w:szCs w:val="20"/>
              </w:rPr>
              <w:t>The claim is based on the business use percentage of car expenses. Ensure log is kept for 12 consecutive weeks and business use percentage did not vary more than 10%. The resulting business use percentage may then be applied to all car expenses to calculate a deductible amount.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lastRenderedPageBreak/>
              <w:t>D2</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F92200">
            <w:pPr>
              <w:pStyle w:val="Table"/>
              <w:rPr>
                <w:rFonts w:cs="Arial"/>
                <w:b/>
                <w:sz w:val="20"/>
                <w:szCs w:val="20"/>
              </w:rPr>
            </w:pPr>
            <w:r w:rsidRPr="00D820EA">
              <w:rPr>
                <w:rFonts w:cs="Arial"/>
                <w:b/>
                <w:sz w:val="20"/>
                <w:szCs w:val="20"/>
              </w:rPr>
              <w:t>Work related travel expenses</w:t>
            </w:r>
          </w:p>
          <w:p w:rsidR="009650E2" w:rsidRPr="00633A94" w:rsidRDefault="00D820EA" w:rsidP="00F92200">
            <w:pPr>
              <w:pStyle w:val="Table"/>
              <w:rPr>
                <w:rFonts w:cs="Arial"/>
                <w:sz w:val="20"/>
                <w:szCs w:val="20"/>
              </w:rPr>
            </w:pPr>
            <w:r w:rsidRPr="00D820EA">
              <w:rPr>
                <w:rFonts w:cs="Arial"/>
                <w:sz w:val="20"/>
                <w:szCs w:val="20"/>
              </w:rPr>
              <w:t>Domestic travel</w:t>
            </w:r>
          </w:p>
          <w:p w:rsidR="009650E2" w:rsidRPr="00633A94" w:rsidRDefault="00D820EA" w:rsidP="00F92200">
            <w:pPr>
              <w:pStyle w:val="Table"/>
              <w:rPr>
                <w:rFonts w:cs="Arial"/>
                <w:sz w:val="20"/>
                <w:szCs w:val="20"/>
              </w:rPr>
            </w:pPr>
            <w:r w:rsidRPr="00D820EA">
              <w:rPr>
                <w:rFonts w:cs="Arial"/>
                <w:sz w:val="20"/>
                <w:szCs w:val="20"/>
              </w:rPr>
              <w:t>Generally requires client to sleep away from home. Expenses include meals, accommodation, car hire and incidentals (such as tolls, parking and hire of third party vehicles).</w:t>
            </w:r>
          </w:p>
          <w:p w:rsidR="009650E2" w:rsidRPr="00633A94" w:rsidRDefault="00D820EA" w:rsidP="00F92200">
            <w:pPr>
              <w:pStyle w:val="Table"/>
              <w:rPr>
                <w:rFonts w:cs="Arial"/>
                <w:sz w:val="20"/>
                <w:szCs w:val="20"/>
              </w:rPr>
            </w:pPr>
            <w:r w:rsidRPr="00D820EA">
              <w:rPr>
                <w:rFonts w:cs="Arial"/>
                <w:sz w:val="20"/>
                <w:szCs w:val="20"/>
              </w:rPr>
              <w:t>Overseas travel</w:t>
            </w:r>
          </w:p>
          <w:p w:rsidR="009650E2" w:rsidRPr="00633A94" w:rsidRDefault="00D820EA" w:rsidP="00F92200">
            <w:pPr>
              <w:pStyle w:val="Table"/>
              <w:rPr>
                <w:rFonts w:cs="Arial"/>
                <w:sz w:val="20"/>
                <w:szCs w:val="20"/>
              </w:rPr>
            </w:pPr>
            <w:r w:rsidRPr="00D820EA">
              <w:rPr>
                <w:rFonts w:cs="Arial"/>
                <w:sz w:val="20"/>
                <w:szCs w:val="20"/>
              </w:rPr>
              <w:t>Must obtain documentary evidence as well as diary. Substantiation is not required where ‘reasonable allowance’ paid to employee for accommodation (domestic only), food, drink and incidentals if allowance is within ATO limits.</w:t>
            </w:r>
          </w:p>
          <w:p w:rsidR="009650E2" w:rsidRPr="00633A94" w:rsidRDefault="00D820EA" w:rsidP="00EB39AD">
            <w:pPr>
              <w:pStyle w:val="Table"/>
              <w:rPr>
                <w:rFonts w:cs="Arial"/>
                <w:b/>
                <w:sz w:val="20"/>
                <w:szCs w:val="20"/>
              </w:rPr>
            </w:pPr>
            <w:r w:rsidRPr="00D820EA">
              <w:rPr>
                <w:rFonts w:cs="Arial"/>
                <w:sz w:val="20"/>
                <w:szCs w:val="20"/>
              </w:rPr>
              <w:t xml:space="preserve">(Refer to Taxation Ruling TR 2004/6  and TD </w:t>
            </w:r>
            <w:r w:rsidR="00EB39AD">
              <w:rPr>
                <w:rFonts w:cs="Arial"/>
                <w:sz w:val="20"/>
                <w:szCs w:val="20"/>
              </w:rPr>
              <w:t>2013/16</w:t>
            </w:r>
            <w:r w:rsidRPr="00D820EA">
              <w:rPr>
                <w:rFonts w:cs="Arial"/>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t>D3</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Work related uniform, occupation specific or protective clothing, laundry and dry cleaning expenses</w:t>
            </w:r>
          </w:p>
          <w:p w:rsidR="009650E2" w:rsidRPr="00633A94" w:rsidRDefault="00D820EA" w:rsidP="00602CD8">
            <w:pPr>
              <w:pStyle w:val="TableBullet"/>
              <w:numPr>
                <w:ilvl w:val="0"/>
                <w:numId w:val="4"/>
              </w:numPr>
              <w:ind w:left="576" w:right="-58" w:hanging="576"/>
              <w:rPr>
                <w:rFonts w:cs="Arial"/>
                <w:sz w:val="20"/>
                <w:szCs w:val="20"/>
              </w:rPr>
            </w:pPr>
            <w:r w:rsidRPr="00D820EA">
              <w:rPr>
                <w:rFonts w:cs="Arial"/>
                <w:sz w:val="20"/>
                <w:szCs w:val="20"/>
              </w:rPr>
              <w:t>protective clothing and safety footwear: clothing or footwear that is specifically designed to protect or</w:t>
            </w:r>
          </w:p>
          <w:p w:rsidR="009650E2" w:rsidRPr="00633A94" w:rsidRDefault="00D820EA" w:rsidP="00602CD8">
            <w:pPr>
              <w:pStyle w:val="TableBullet"/>
              <w:numPr>
                <w:ilvl w:val="0"/>
                <w:numId w:val="4"/>
              </w:numPr>
              <w:ind w:left="576" w:right="-58" w:hanging="576"/>
              <w:rPr>
                <w:rFonts w:cs="Arial"/>
                <w:sz w:val="20"/>
                <w:szCs w:val="20"/>
              </w:rPr>
            </w:pPr>
            <w:r w:rsidRPr="00D820EA">
              <w:rPr>
                <w:rFonts w:cs="Arial"/>
                <w:sz w:val="20"/>
                <w:szCs w:val="20"/>
              </w:rPr>
              <w:t>compulsory uniforms: non-conventional clothing that the employee is compelled to wear or</w:t>
            </w:r>
          </w:p>
          <w:p w:rsidR="009650E2" w:rsidRPr="00633A94" w:rsidRDefault="00D820EA" w:rsidP="00602CD8">
            <w:pPr>
              <w:pStyle w:val="TableBullet"/>
              <w:numPr>
                <w:ilvl w:val="0"/>
                <w:numId w:val="4"/>
              </w:numPr>
              <w:ind w:left="576" w:hanging="576"/>
              <w:rPr>
                <w:rFonts w:cs="Arial"/>
                <w:sz w:val="20"/>
                <w:szCs w:val="20"/>
              </w:rPr>
            </w:pPr>
            <w:r w:rsidRPr="00D820EA">
              <w:rPr>
                <w:rFonts w:cs="Arial"/>
                <w:sz w:val="20"/>
                <w:szCs w:val="20"/>
              </w:rPr>
              <w:t>occupation specific: clothing that identifies a person as a member of a specific profession, trade, vocation, occupation or calling.</w:t>
            </w:r>
          </w:p>
          <w:p w:rsidR="009650E2" w:rsidRPr="00633A94" w:rsidRDefault="00D820EA" w:rsidP="00E03687">
            <w:pPr>
              <w:pStyle w:val="Table"/>
              <w:rPr>
                <w:rFonts w:cs="Arial"/>
                <w:sz w:val="20"/>
                <w:szCs w:val="20"/>
              </w:rPr>
            </w:pPr>
            <w:r w:rsidRPr="00F31C38">
              <w:rPr>
                <w:rFonts w:cs="Arial"/>
                <w:sz w:val="20"/>
                <w:szCs w:val="20"/>
              </w:rPr>
              <w:t xml:space="preserve">Substantiation not necessary for reasonable claims up to $150 in respect of </w:t>
            </w:r>
            <w:r w:rsidR="00B76B1E" w:rsidRPr="00F31C38">
              <w:rPr>
                <w:rFonts w:cs="Arial"/>
                <w:sz w:val="20"/>
                <w:szCs w:val="20"/>
              </w:rPr>
              <w:t>laundry</w:t>
            </w:r>
            <w:r w:rsidRPr="00F31C38">
              <w:rPr>
                <w:rFonts w:cs="Arial"/>
                <w:sz w:val="20"/>
                <w:szCs w:val="20"/>
              </w:rPr>
              <w:t>.</w:t>
            </w:r>
            <w:r w:rsidRPr="00D820EA">
              <w:rPr>
                <w:rFonts w:cs="Arial"/>
                <w:sz w:val="20"/>
                <w:szCs w:val="20"/>
              </w:rPr>
              <w:t xml:space="preserve"> Refer to TR 94/22 and TR 98/5.</w:t>
            </w:r>
          </w:p>
          <w:p w:rsidR="009650E2" w:rsidRPr="00633A94" w:rsidRDefault="00D820EA" w:rsidP="00F92200">
            <w:pPr>
              <w:pStyle w:val="Table"/>
              <w:rPr>
                <w:rFonts w:cs="Arial"/>
                <w:b/>
                <w:sz w:val="16"/>
                <w:szCs w:val="16"/>
              </w:rPr>
            </w:pPr>
            <w:r w:rsidRPr="00D820EA">
              <w:rPr>
                <w:rFonts w:cs="Arial"/>
                <w:b/>
                <w:sz w:val="16"/>
                <w:szCs w:val="16"/>
              </w:rPr>
              <w:t>Tax tips</w:t>
            </w:r>
            <w:r w:rsidRPr="00D820EA">
              <w:rPr>
                <w:rFonts w:cs="Arial"/>
                <w:sz w:val="16"/>
                <w:szCs w:val="16"/>
              </w:rPr>
              <w:t>: you can only claim laundry and dry cleaning expenses in respect of work-related uniforms and occupation specific clothing.</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t>D4</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Work related self-education expenses</w:t>
            </w:r>
          </w:p>
          <w:p w:rsidR="009650E2" w:rsidRPr="00633A94" w:rsidRDefault="00D820EA" w:rsidP="00E03687">
            <w:pPr>
              <w:pStyle w:val="Table"/>
              <w:rPr>
                <w:rFonts w:cs="Arial"/>
                <w:sz w:val="20"/>
                <w:szCs w:val="20"/>
              </w:rPr>
            </w:pPr>
            <w:r w:rsidRPr="00D820EA">
              <w:rPr>
                <w:rFonts w:cs="Arial"/>
                <w:sz w:val="20"/>
                <w:szCs w:val="20"/>
              </w:rPr>
              <w:t>Examples include student union fees, books, stationery, consumables, travel and depreciation. For further details of eligibility requirements and types of deductions available refer to TR 98/9.</w:t>
            </w:r>
          </w:p>
          <w:p w:rsidR="009650E2" w:rsidRPr="00633A94" w:rsidRDefault="00D820EA" w:rsidP="00E03687">
            <w:pPr>
              <w:pStyle w:val="Table"/>
              <w:spacing w:before="120"/>
              <w:rPr>
                <w:rFonts w:cs="Arial"/>
                <w:sz w:val="16"/>
                <w:szCs w:val="16"/>
              </w:rPr>
            </w:pPr>
            <w:r w:rsidRPr="00D820EA">
              <w:rPr>
                <w:rFonts w:cs="Arial"/>
                <w:b/>
                <w:sz w:val="16"/>
                <w:szCs w:val="16"/>
              </w:rPr>
              <w:t>Tax tips</w:t>
            </w:r>
            <w:r w:rsidRPr="00D820EA">
              <w:rPr>
                <w:rFonts w:cs="Arial"/>
                <w:sz w:val="16"/>
                <w:szCs w:val="16"/>
              </w:rPr>
              <w:t>: the ATO pays particular attention to these items so ensure that all claims can be substantiated appropriately. Note also that $250 of eligible self-education expenditure is not allowable.</w:t>
            </w:r>
          </w:p>
          <w:p w:rsidR="009650E2" w:rsidRPr="00633A94" w:rsidRDefault="009650E2" w:rsidP="00EB39AD">
            <w:pPr>
              <w:pStyle w:val="Table"/>
              <w:spacing w:before="120"/>
              <w:rPr>
                <w:rFonts w:cs="Arial"/>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t>D5</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Other work related expenses</w:t>
            </w:r>
          </w:p>
          <w:p w:rsidR="009650E2" w:rsidRPr="00633A94" w:rsidRDefault="00D820EA" w:rsidP="00E03687">
            <w:pPr>
              <w:pStyle w:val="Table"/>
              <w:rPr>
                <w:rFonts w:cs="Arial"/>
                <w:sz w:val="20"/>
                <w:szCs w:val="20"/>
              </w:rPr>
            </w:pPr>
            <w:r w:rsidRPr="00D820EA">
              <w:rPr>
                <w:rFonts w:cs="Arial"/>
                <w:sz w:val="20"/>
                <w:szCs w:val="20"/>
              </w:rPr>
              <w:t>Examples include union fees, seminars, overtime meals, home office, telephone, subscriptions, briefcase, calculator, electronic organiser</w:t>
            </w:r>
            <w:r w:rsidR="00B76B1E">
              <w:rPr>
                <w:rFonts w:cs="Arial"/>
                <w:sz w:val="20"/>
                <w:szCs w:val="20"/>
              </w:rPr>
              <w:t>, depreciation on assets costing &gt; $300</w:t>
            </w:r>
            <w:r w:rsidRPr="00D820EA">
              <w:rPr>
                <w:rFonts w:cs="Arial"/>
                <w:sz w:val="20"/>
                <w:szCs w:val="20"/>
              </w:rPr>
              <w:t xml:space="preserve"> and </w:t>
            </w:r>
            <w:r w:rsidR="00B76B1E">
              <w:rPr>
                <w:rFonts w:cs="Arial"/>
                <w:sz w:val="20"/>
                <w:szCs w:val="20"/>
              </w:rPr>
              <w:t xml:space="preserve">write off of </w:t>
            </w:r>
            <w:r w:rsidRPr="00D820EA">
              <w:rPr>
                <w:rFonts w:cs="Arial"/>
                <w:sz w:val="20"/>
                <w:szCs w:val="20"/>
              </w:rPr>
              <w:t>assets not exceeding $300.</w:t>
            </w:r>
          </w:p>
          <w:p w:rsidR="009650E2" w:rsidRPr="00633A94" w:rsidRDefault="00D820EA" w:rsidP="00E03687">
            <w:pPr>
              <w:pStyle w:val="Table"/>
              <w:spacing w:before="120"/>
              <w:rPr>
                <w:rFonts w:cs="Arial"/>
                <w:sz w:val="16"/>
                <w:szCs w:val="16"/>
              </w:rPr>
            </w:pPr>
            <w:r w:rsidRPr="00D820EA">
              <w:rPr>
                <w:rFonts w:cs="Arial"/>
                <w:b/>
                <w:sz w:val="16"/>
                <w:szCs w:val="16"/>
              </w:rPr>
              <w:t>Note:</w:t>
            </w:r>
            <w:r w:rsidRPr="00D820EA">
              <w:rPr>
                <w:rFonts w:cs="Arial"/>
                <w:sz w:val="16"/>
                <w:szCs w:val="16"/>
              </w:rPr>
              <w:t xml:space="preserve"> deductions differ for a home office depending on whether it is a place of business or an office used away from the normal workplace. </w:t>
            </w:r>
            <w:r w:rsidR="00EB39AD">
              <w:rPr>
                <w:rFonts w:cs="Arial"/>
                <w:sz w:val="16"/>
                <w:szCs w:val="16"/>
              </w:rPr>
              <w:t>A</w:t>
            </w:r>
            <w:r w:rsidR="00EB39AD" w:rsidRPr="00EB39AD">
              <w:rPr>
                <w:rFonts w:cs="Arial"/>
                <w:sz w:val="16"/>
                <w:szCs w:val="16"/>
              </w:rPr>
              <w:t xml:space="preserve"> fixed rate </w:t>
            </w:r>
            <w:r w:rsidR="00EB39AD">
              <w:rPr>
                <w:rFonts w:cs="Arial"/>
                <w:sz w:val="16"/>
                <w:szCs w:val="16"/>
              </w:rPr>
              <w:t xml:space="preserve">can be used </w:t>
            </w:r>
            <w:r w:rsidR="00EB39AD" w:rsidRPr="00EB39AD">
              <w:rPr>
                <w:rFonts w:cs="Arial"/>
                <w:sz w:val="16"/>
                <w:szCs w:val="16"/>
              </w:rPr>
              <w:t xml:space="preserve">to claim </w:t>
            </w:r>
            <w:r w:rsidR="00EB39AD">
              <w:rPr>
                <w:rFonts w:cs="Arial"/>
                <w:sz w:val="16"/>
                <w:szCs w:val="16"/>
              </w:rPr>
              <w:t>the</w:t>
            </w:r>
            <w:r w:rsidR="00EB39AD" w:rsidRPr="00EB39AD">
              <w:rPr>
                <w:rFonts w:cs="Arial"/>
                <w:sz w:val="16"/>
                <w:szCs w:val="16"/>
              </w:rPr>
              <w:t xml:space="preserve"> decline in value of home office furniture and costs for heating, cooling and lighting</w:t>
            </w:r>
            <w:r w:rsidRPr="00D820EA">
              <w:rPr>
                <w:rFonts w:cs="Arial"/>
                <w:sz w:val="16"/>
                <w:szCs w:val="16"/>
              </w:rPr>
              <w:t>, subject to maintaining a diary for a required period.</w:t>
            </w:r>
            <w:r w:rsidR="00EB39AD">
              <w:rPr>
                <w:rFonts w:cs="Arial"/>
                <w:sz w:val="16"/>
                <w:szCs w:val="16"/>
              </w:rPr>
              <w:t xml:space="preserve"> The fixed rate is currently 34 cents for each hour</w:t>
            </w:r>
            <w:r w:rsidR="00EB39AD" w:rsidRPr="00EB39AD">
              <w:rPr>
                <w:rFonts w:cs="Arial"/>
                <w:sz w:val="16"/>
                <w:szCs w:val="16"/>
              </w:rPr>
              <w:t xml:space="preserve"> </w:t>
            </w:r>
            <w:r w:rsidR="00EB39AD">
              <w:rPr>
                <w:rFonts w:cs="Arial"/>
                <w:sz w:val="16"/>
                <w:szCs w:val="16"/>
              </w:rPr>
              <w:t xml:space="preserve">the client </w:t>
            </w:r>
            <w:r w:rsidR="001D28B6">
              <w:rPr>
                <w:rFonts w:cs="Arial"/>
                <w:sz w:val="16"/>
                <w:szCs w:val="16"/>
              </w:rPr>
              <w:t>uses the home office</w:t>
            </w:r>
            <w:r w:rsidR="00EB39AD" w:rsidRPr="00EB39AD">
              <w:rPr>
                <w:rFonts w:cs="Arial"/>
                <w:sz w:val="16"/>
                <w:szCs w:val="16"/>
              </w:rPr>
              <w:t xml:space="preserve"> exclusively for work-related purposes</w:t>
            </w:r>
            <w:r w:rsidR="00EB39AD">
              <w:rPr>
                <w:rFonts w:cs="Arial"/>
                <w:sz w:val="16"/>
                <w:szCs w:val="16"/>
              </w:rPr>
              <w:t>.</w:t>
            </w:r>
          </w:p>
          <w:p w:rsidR="009650E2" w:rsidRPr="00633A94" w:rsidRDefault="00D820EA" w:rsidP="002745C9">
            <w:pPr>
              <w:pStyle w:val="Table"/>
              <w:rPr>
                <w:rFonts w:cs="Arial"/>
                <w:b/>
                <w:sz w:val="20"/>
                <w:szCs w:val="20"/>
              </w:rPr>
            </w:pPr>
            <w:r w:rsidRPr="00D820EA">
              <w:rPr>
                <w:rFonts w:cs="Arial"/>
                <w:sz w:val="16"/>
                <w:szCs w:val="16"/>
              </w:rPr>
              <w:t>Refer to Taxation Ruling TR 93/30 for further information.</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t>D6</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2745C9">
            <w:pPr>
              <w:pStyle w:val="Table"/>
              <w:rPr>
                <w:rFonts w:cs="Arial"/>
                <w:b/>
                <w:sz w:val="20"/>
                <w:szCs w:val="20"/>
              </w:rPr>
            </w:pPr>
            <w:r w:rsidRPr="00D820EA">
              <w:rPr>
                <w:rFonts w:cs="Arial"/>
                <w:b/>
                <w:sz w:val="20"/>
                <w:szCs w:val="20"/>
              </w:rPr>
              <w:t>Low-value pool deduction</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lastRenderedPageBreak/>
              <w:t>D7</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Interest deductions</w:t>
            </w:r>
          </w:p>
          <w:p w:rsidR="009650E2" w:rsidRPr="00633A94" w:rsidRDefault="00D820EA" w:rsidP="002745C9">
            <w:pPr>
              <w:pStyle w:val="Table"/>
              <w:rPr>
                <w:rFonts w:cs="Arial"/>
                <w:b/>
                <w:sz w:val="20"/>
                <w:szCs w:val="20"/>
              </w:rPr>
            </w:pPr>
            <w:r w:rsidRPr="00D820EA">
              <w:rPr>
                <w:rFonts w:cs="Arial"/>
                <w:sz w:val="20"/>
                <w:szCs w:val="20"/>
              </w:rPr>
              <w:t>Cannot be claimed unless income at question 10.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t>D8</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Dividend deductions</w:t>
            </w:r>
          </w:p>
          <w:p w:rsidR="009650E2" w:rsidRPr="00633A94" w:rsidRDefault="00D820EA" w:rsidP="002745C9">
            <w:pPr>
              <w:pStyle w:val="Table"/>
              <w:rPr>
                <w:rFonts w:cs="Arial"/>
                <w:b/>
                <w:sz w:val="20"/>
                <w:szCs w:val="20"/>
              </w:rPr>
            </w:pPr>
            <w:r w:rsidRPr="00D820EA">
              <w:rPr>
                <w:rFonts w:cs="Arial"/>
                <w:sz w:val="20"/>
                <w:szCs w:val="20"/>
              </w:rPr>
              <w:t>Cannot be claimed unless income at question 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t>D9</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keepNext/>
              <w:rPr>
                <w:rFonts w:cs="Arial"/>
                <w:b/>
                <w:sz w:val="20"/>
                <w:szCs w:val="20"/>
              </w:rPr>
            </w:pPr>
            <w:r w:rsidRPr="00D820EA">
              <w:rPr>
                <w:rFonts w:cs="Arial"/>
                <w:b/>
                <w:sz w:val="20"/>
                <w:szCs w:val="20"/>
              </w:rPr>
              <w:t>Gifts or donations</w:t>
            </w:r>
          </w:p>
          <w:p w:rsidR="009650E2" w:rsidRPr="00731A8C" w:rsidRDefault="00D820EA" w:rsidP="00E03687">
            <w:pPr>
              <w:pStyle w:val="Table"/>
              <w:keepNext/>
              <w:rPr>
                <w:rFonts w:cs="Arial"/>
                <w:color w:val="000000" w:themeColor="text1"/>
                <w:sz w:val="20"/>
                <w:szCs w:val="20"/>
              </w:rPr>
            </w:pPr>
            <w:r w:rsidRPr="00731A8C">
              <w:rPr>
                <w:rFonts w:cs="Arial"/>
                <w:color w:val="000000" w:themeColor="text1"/>
                <w:sz w:val="20"/>
                <w:szCs w:val="20"/>
              </w:rPr>
              <w:t>Ensure that all donations are endorsed deductible gift recipients and that the client did not receive any tangible benefit from making the donation.</w:t>
            </w:r>
          </w:p>
          <w:p w:rsidR="009B6C17" w:rsidRPr="00731A8C" w:rsidRDefault="00D820EA" w:rsidP="00731A8C">
            <w:pPr>
              <w:pStyle w:val="NormalWeb"/>
              <w:numPr>
                <w:ilvl w:val="1"/>
                <w:numId w:val="7"/>
              </w:numPr>
              <w:shd w:val="clear" w:color="auto" w:fill="FFFFFF"/>
              <w:spacing w:before="100" w:beforeAutospacing="1" w:after="144"/>
              <w:ind w:left="0"/>
              <w:rPr>
                <w:rFonts w:ascii="Arial" w:hAnsi="Arial" w:cs="Arial"/>
                <w:color w:val="000000" w:themeColor="text1"/>
                <w:sz w:val="20"/>
                <w:szCs w:val="20"/>
              </w:rPr>
            </w:pPr>
            <w:r w:rsidRPr="00731A8C">
              <w:rPr>
                <w:rFonts w:ascii="Arial" w:hAnsi="Arial" w:cs="Arial"/>
                <w:b/>
                <w:color w:val="000000" w:themeColor="text1"/>
                <w:sz w:val="20"/>
                <w:szCs w:val="20"/>
              </w:rPr>
              <w:t>Note</w:t>
            </w:r>
            <w:r w:rsidRPr="00731A8C">
              <w:rPr>
                <w:rFonts w:ascii="Arial" w:hAnsi="Arial" w:cs="Arial"/>
                <w:color w:val="000000" w:themeColor="text1"/>
                <w:sz w:val="20"/>
                <w:szCs w:val="20"/>
              </w:rPr>
              <w:t>:</w:t>
            </w:r>
            <w:r w:rsidR="00742CAE" w:rsidRPr="00731A8C">
              <w:rPr>
                <w:rFonts w:ascii="Arial" w:hAnsi="Arial" w:cs="Arial"/>
                <w:color w:val="000000" w:themeColor="text1"/>
                <w:sz w:val="20"/>
                <w:szCs w:val="20"/>
              </w:rPr>
              <w:t xml:space="preserve"> You cannot claim a deduction for a gift that adds to or creates a tax loss. However, you can choose to spread deductions for certain gifts over a period of up to five years</w:t>
            </w:r>
            <w:r w:rsidR="009B6C17" w:rsidRPr="00731A8C">
              <w:rPr>
                <w:rFonts w:ascii="Arial" w:hAnsi="Arial" w:cs="Arial"/>
                <w:color w:val="000000" w:themeColor="text1"/>
                <w:sz w:val="20"/>
                <w:szCs w:val="20"/>
              </w:rPr>
              <w:t xml:space="preserve"> under certain circumstances. Reasons you may want to make an election to spread tax deductions over multiple years can include:1)avoiding creating a tax loss if the deduction is claimed in one income year 2)to claim the deduction in years of higher income.</w:t>
            </w:r>
          </w:p>
          <w:p w:rsidR="009B6C17" w:rsidRPr="00731A8C" w:rsidRDefault="009B6C17" w:rsidP="009B6C17">
            <w:pPr>
              <w:pStyle w:val="NormalWeb"/>
              <w:shd w:val="clear" w:color="auto" w:fill="FFFFFF"/>
              <w:rPr>
                <w:rFonts w:ascii="Arial" w:hAnsi="Arial" w:cs="Arial"/>
                <w:color w:val="000000" w:themeColor="text1"/>
                <w:sz w:val="20"/>
                <w:szCs w:val="20"/>
              </w:rPr>
            </w:pPr>
            <w:r w:rsidRPr="00731A8C">
              <w:rPr>
                <w:rFonts w:ascii="Arial" w:hAnsi="Arial" w:cs="Arial"/>
                <w:color w:val="000000" w:themeColor="text1"/>
                <w:sz w:val="20"/>
                <w:szCs w:val="20"/>
              </w:rPr>
              <w:t xml:space="preserve">You must make the election in the </w:t>
            </w:r>
            <w:hyperlink r:id="rId8" w:anchor="approvedform" w:history="1">
              <w:r w:rsidRPr="00731A8C">
                <w:rPr>
                  <w:rStyle w:val="Hyperlink"/>
                  <w:rFonts w:ascii="Arial" w:hAnsi="Arial" w:cs="Arial"/>
                  <w:color w:val="000000" w:themeColor="text1"/>
                  <w:sz w:val="20"/>
                  <w:szCs w:val="20"/>
                </w:rPr>
                <w:t>approved form</w:t>
              </w:r>
            </w:hyperlink>
            <w:r w:rsidRPr="00731A8C">
              <w:rPr>
                <w:rFonts w:ascii="Arial" w:hAnsi="Arial" w:cs="Arial"/>
                <w:color w:val="000000" w:themeColor="text1"/>
                <w:sz w:val="20"/>
                <w:szCs w:val="20"/>
              </w:rPr>
              <w:t xml:space="preserve"> before lodging your tax return for the income year in which the gift was made. The election must start in the year the gift was made and can continue for up to four of the years immediately following.</w:t>
            </w:r>
          </w:p>
          <w:p w:rsidR="009650E2" w:rsidRPr="00633A94" w:rsidRDefault="009650E2" w:rsidP="009B6C17">
            <w:pPr>
              <w:pStyle w:val="Table"/>
              <w:rPr>
                <w:rFonts w:cs="Arial"/>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t>D10</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keepNext/>
              <w:rPr>
                <w:rFonts w:cs="Arial"/>
                <w:b/>
                <w:sz w:val="20"/>
                <w:szCs w:val="20"/>
              </w:rPr>
            </w:pPr>
            <w:r w:rsidRPr="00D820EA">
              <w:rPr>
                <w:rFonts w:cs="Arial"/>
                <w:b/>
                <w:sz w:val="20"/>
                <w:szCs w:val="20"/>
              </w:rPr>
              <w:t>Cost of managing tax affairs</w:t>
            </w:r>
          </w:p>
          <w:p w:rsidR="009650E2" w:rsidRPr="00633A94" w:rsidRDefault="00D820EA" w:rsidP="00E03687">
            <w:pPr>
              <w:pStyle w:val="Table"/>
              <w:rPr>
                <w:rFonts w:cs="Arial"/>
                <w:b/>
                <w:sz w:val="20"/>
                <w:szCs w:val="20"/>
              </w:rPr>
            </w:pPr>
            <w:r w:rsidRPr="00D820EA">
              <w:rPr>
                <w:rFonts w:cs="Arial"/>
                <w:b/>
                <w:sz w:val="20"/>
                <w:szCs w:val="20"/>
              </w:rPr>
              <w:t>Note</w:t>
            </w:r>
            <w:r w:rsidRPr="00D820EA">
              <w:rPr>
                <w:rFonts w:cs="Arial"/>
                <w:sz w:val="20"/>
                <w:szCs w:val="20"/>
              </w:rPr>
              <w:t>: this also includes GIC and travel to tax agent.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Pr>
        <w:tc>
          <w:tcPr>
            <w:tcW w:w="10712" w:type="dxa"/>
            <w:gridSpan w:val="5"/>
            <w:tcBorders>
              <w:top w:val="single" w:sz="4" w:space="0" w:color="auto"/>
              <w:left w:val="single" w:sz="4" w:space="0" w:color="auto"/>
              <w:bottom w:val="single" w:sz="4" w:space="0" w:color="auto"/>
              <w:right w:val="single" w:sz="4" w:space="0" w:color="auto"/>
            </w:tcBorders>
            <w:shd w:val="clear" w:color="auto" w:fill="404040"/>
            <w:tcMar>
              <w:bottom w:w="113" w:type="dxa"/>
            </w:tcMar>
            <w:vAlign w:val="center"/>
          </w:tcPr>
          <w:p w:rsidR="00D820EA" w:rsidRDefault="00D820EA">
            <w:pPr>
              <w:keepNext/>
              <w:ind w:left="141"/>
              <w:rPr>
                <w:rFonts w:cs="Arial"/>
                <w:b/>
                <w:color w:val="FFFFFF"/>
                <w:szCs w:val="20"/>
              </w:rPr>
            </w:pPr>
            <w:r w:rsidRPr="00D820EA">
              <w:rPr>
                <w:rFonts w:cs="Arial"/>
                <w:b/>
                <w:color w:val="FFFFFF"/>
                <w:szCs w:val="20"/>
              </w:rPr>
              <w:t>Supplement Deductions</w:t>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t>D11</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Deductible amount of undeducted purchase price of a foreign pension or annuity</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r w:rsidRPr="00D820EA">
              <w:rPr>
                <w:rFonts w:cs="Arial"/>
                <w:b/>
                <w:bCs/>
                <w:szCs w:val="20"/>
              </w:rPr>
              <w:lastRenderedPageBreak/>
              <w:t>D12</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Personal superannuation contributions</w:t>
            </w:r>
          </w:p>
          <w:p w:rsidR="009650E2" w:rsidRPr="00633A94" w:rsidRDefault="00D820EA" w:rsidP="00E03687">
            <w:pPr>
              <w:pStyle w:val="Table"/>
              <w:rPr>
                <w:rFonts w:cs="Arial"/>
                <w:sz w:val="20"/>
                <w:szCs w:val="20"/>
              </w:rPr>
            </w:pPr>
            <w:r w:rsidRPr="00D820EA">
              <w:rPr>
                <w:rFonts w:cs="Arial"/>
                <w:sz w:val="20"/>
                <w:szCs w:val="20"/>
              </w:rPr>
              <w:t xml:space="preserve">Strict rules apply to when an employee can claim a tax deduction. A self-employed taxpayer may be able to claim all their contributions to a complying superannuation fund as fully tax deductible up to age 75, provided no more than 10% of their assessable income, reportable fringe benefits and </w:t>
            </w:r>
            <w:r w:rsidRPr="00D820EA">
              <w:rPr>
                <w:rStyle w:val="resizable-content"/>
                <w:rFonts w:cs="Arial"/>
                <w:sz w:val="20"/>
                <w:szCs w:val="20"/>
              </w:rPr>
              <w:t xml:space="preserve">reportable employer superannuation contributions </w:t>
            </w:r>
            <w:r w:rsidRPr="00D820EA">
              <w:rPr>
                <w:rFonts w:cs="Arial"/>
                <w:sz w:val="20"/>
                <w:szCs w:val="20"/>
              </w:rPr>
              <w:t>is attributable to their employment as an employee.</w:t>
            </w:r>
          </w:p>
          <w:p w:rsidR="009650E2" w:rsidRPr="00633A94" w:rsidRDefault="009650E2" w:rsidP="00E03687">
            <w:pPr>
              <w:pStyle w:val="Table"/>
              <w:rPr>
                <w:rFonts w:cs="Arial"/>
                <w:sz w:val="20"/>
                <w:szCs w:val="20"/>
              </w:rPr>
            </w:pPr>
          </w:p>
          <w:p w:rsidR="009650E2" w:rsidRPr="00F86D41" w:rsidRDefault="00D820EA" w:rsidP="00E03687">
            <w:pPr>
              <w:pStyle w:val="Table"/>
              <w:keepNext/>
              <w:rPr>
                <w:rFonts w:cs="Arial"/>
                <w:sz w:val="20"/>
                <w:szCs w:val="20"/>
              </w:rPr>
            </w:pPr>
            <w:r w:rsidRPr="00F86D41">
              <w:rPr>
                <w:rFonts w:cs="Arial"/>
                <w:b/>
                <w:sz w:val="20"/>
                <w:szCs w:val="20"/>
              </w:rPr>
              <w:t>Note</w:t>
            </w:r>
            <w:r w:rsidRPr="00F86D41">
              <w:rPr>
                <w:rFonts w:cs="Arial"/>
                <w:sz w:val="20"/>
                <w:szCs w:val="20"/>
              </w:rPr>
              <w:t xml:space="preserve">: care should be exercised to avoid breaching the annual superannuation concessional contributions cap for the individual. </w:t>
            </w:r>
          </w:p>
          <w:p w:rsidR="00F86D41" w:rsidRPr="00F86D41" w:rsidRDefault="00D820EA" w:rsidP="00E03687">
            <w:pPr>
              <w:pStyle w:val="NoSpacing"/>
              <w:spacing w:before="120"/>
              <w:rPr>
                <w:rFonts w:eastAsia="MS Gothic"/>
                <w:sz w:val="20"/>
                <w:szCs w:val="20"/>
              </w:rPr>
            </w:pPr>
            <w:r w:rsidRPr="00F86D41">
              <w:rPr>
                <w:rFonts w:eastAsia="MS Gothic"/>
                <w:sz w:val="20"/>
                <w:szCs w:val="20"/>
              </w:rPr>
              <w:t xml:space="preserve">However, </w:t>
            </w:r>
            <w:r w:rsidR="004A32F3" w:rsidRPr="00F86D41">
              <w:rPr>
                <w:rFonts w:eastAsia="MS Gothic"/>
                <w:sz w:val="20"/>
                <w:szCs w:val="20"/>
              </w:rPr>
              <w:t xml:space="preserve">the individual </w:t>
            </w:r>
            <w:r w:rsidRPr="00F86D41">
              <w:rPr>
                <w:rFonts w:eastAsia="MS Gothic"/>
                <w:sz w:val="20"/>
                <w:szCs w:val="20"/>
              </w:rPr>
              <w:t xml:space="preserve">may receive an offer from the Australian Taxation Office to have the excess concessional contributions refunded and assessed at </w:t>
            </w:r>
            <w:r w:rsidR="00072616">
              <w:rPr>
                <w:rFonts w:eastAsia="MS Gothic"/>
                <w:sz w:val="20"/>
                <w:szCs w:val="20"/>
              </w:rPr>
              <w:t>their</w:t>
            </w:r>
            <w:r w:rsidRPr="00F86D41">
              <w:rPr>
                <w:rFonts w:eastAsia="MS Gothic"/>
                <w:sz w:val="20"/>
                <w:szCs w:val="20"/>
              </w:rPr>
              <w:t xml:space="preserve"> marginal tax rate, rather than pay excess contributions tax. </w:t>
            </w:r>
          </w:p>
          <w:p w:rsidR="00490214" w:rsidRPr="00F86D41" w:rsidRDefault="00F86D41" w:rsidP="00072616">
            <w:pPr>
              <w:pStyle w:val="NoSpacing"/>
              <w:spacing w:before="120"/>
              <w:rPr>
                <w:rFonts w:eastAsia="MS Gothic"/>
                <w:sz w:val="16"/>
                <w:szCs w:val="16"/>
              </w:rPr>
            </w:pPr>
            <w:r w:rsidRPr="00F86D41">
              <w:rPr>
                <w:rFonts w:eastAsia="MS Gothic"/>
                <w:sz w:val="20"/>
                <w:szCs w:val="20"/>
              </w:rPr>
              <w:t xml:space="preserve">The Australian Taxation Office may also offer to have excess non concessional contributions refunded and earnings on the excess assessed at </w:t>
            </w:r>
            <w:r w:rsidR="00072616">
              <w:rPr>
                <w:rFonts w:eastAsia="MS Gothic"/>
                <w:sz w:val="20"/>
                <w:szCs w:val="20"/>
              </w:rPr>
              <w:t>the individual’s</w:t>
            </w:r>
            <w:r w:rsidRPr="00F86D41">
              <w:rPr>
                <w:rFonts w:eastAsia="MS Gothic"/>
                <w:sz w:val="20"/>
                <w:szCs w:val="20"/>
              </w:rPr>
              <w:t xml:space="preserve"> marginal tax rate. </w:t>
            </w:r>
            <w:r w:rsidR="00490214" w:rsidRPr="00F86D41">
              <w:rPr>
                <w:sz w:val="20"/>
                <w:szCs w:val="20"/>
              </w:rPr>
              <w:t>Individuals who leave their excess non-concessional contributions in their superannuation fund will continue to be taxed on these contributions at the top marginal tax rate.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Pr>
                <w:rFonts w:cs="Arial"/>
                <w:b/>
                <w:bCs/>
                <w:szCs w:val="20"/>
              </w:rPr>
              <w:t>D13</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Deduction for project pool</w:t>
            </w:r>
          </w:p>
          <w:p w:rsidR="009650E2" w:rsidRPr="00633A94" w:rsidRDefault="00D820EA" w:rsidP="002F1538">
            <w:pPr>
              <w:pStyle w:val="Table"/>
              <w:rPr>
                <w:rFonts w:cs="Arial"/>
                <w:b/>
                <w:sz w:val="20"/>
                <w:szCs w:val="20"/>
              </w:rPr>
            </w:pPr>
            <w:r w:rsidRPr="00D820EA">
              <w:rPr>
                <w:rFonts w:cs="Arial"/>
                <w:sz w:val="20"/>
                <w:szCs w:val="20"/>
              </w:rPr>
              <w:t>Relates to certain capital expenditure which is directly connected with a project carried on, or proposed to be carried on, to gain or produce assessable income (i.e. this expenditure can be allocated to a project pool and written off over the project life but the expenditure must not otherwise be deductible nor form part of the cost of a depreciating asset).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Pr>
                <w:rFonts w:cs="Arial"/>
                <w:b/>
                <w:bCs/>
                <w:szCs w:val="20"/>
              </w:rPr>
              <w:t>D14</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Forestry managed investment scheme deduction</w:t>
            </w:r>
          </w:p>
          <w:p w:rsidR="009650E2" w:rsidRPr="00633A94" w:rsidRDefault="00D820EA" w:rsidP="00E03687">
            <w:pPr>
              <w:pStyle w:val="Table"/>
              <w:rPr>
                <w:rFonts w:cs="Arial"/>
                <w:sz w:val="20"/>
                <w:szCs w:val="20"/>
              </w:rPr>
            </w:pPr>
            <w:r w:rsidRPr="00D820EA">
              <w:rPr>
                <w:rFonts w:cs="Arial"/>
                <w:sz w:val="20"/>
                <w:szCs w:val="20"/>
              </w:rPr>
              <w:t>Initial investors in forestry managed investment schemes (forestry schemes) will receive a tax deduction equal to 100% of their contributions.</w:t>
            </w:r>
          </w:p>
          <w:p w:rsidR="009650E2" w:rsidRPr="00633A94" w:rsidRDefault="00D820EA" w:rsidP="00E03687">
            <w:pPr>
              <w:pStyle w:val="Table"/>
              <w:rPr>
                <w:rFonts w:cs="Arial"/>
                <w:b/>
                <w:sz w:val="20"/>
                <w:szCs w:val="20"/>
              </w:rPr>
            </w:pPr>
            <w:r w:rsidRPr="00D820EA">
              <w:rPr>
                <w:rFonts w:cs="Arial"/>
                <w:sz w:val="20"/>
                <w:szCs w:val="20"/>
              </w:rPr>
              <w:t>Subsequent investors will receive a tax deduction for their ongoing contributions to forestry schemes, provided that at least 70% of the scheme manager’s expenditure under the scheme is expenditure attributable to establishing, tending and felling trees for harvesting (direct forestry expenditure or DFE).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Pr>
                <w:rFonts w:cs="Arial"/>
                <w:b/>
                <w:bCs/>
                <w:szCs w:val="20"/>
              </w:rPr>
              <w:t>D15</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Other deductions</w:t>
            </w:r>
          </w:p>
          <w:p w:rsidR="009650E2" w:rsidRPr="00633A94" w:rsidRDefault="00D820EA" w:rsidP="00E03687">
            <w:pPr>
              <w:pStyle w:val="Table"/>
              <w:rPr>
                <w:rFonts w:cs="Arial"/>
                <w:b/>
                <w:sz w:val="20"/>
                <w:szCs w:val="20"/>
              </w:rPr>
            </w:pPr>
            <w:r w:rsidRPr="00D820EA">
              <w:rPr>
                <w:rFonts w:cs="Arial"/>
                <w:sz w:val="20"/>
                <w:szCs w:val="20"/>
              </w:rPr>
              <w:t>For example, black-hole expenditure, accident and sickness insurance premiums.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650E2" w:rsidRPr="00633A94" w:rsidRDefault="009650E2">
            <w:pPr>
              <w:rPr>
                <w:rFonts w:cs="Arial"/>
                <w:b/>
                <w:color w:val="FFFFFF"/>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9650E2" w:rsidRPr="00633A94" w:rsidRDefault="009650E2">
            <w:pPr>
              <w:rPr>
                <w:rFonts w:cs="Arial"/>
                <w:b/>
                <w:color w:val="FFFFFF"/>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650E2" w:rsidRPr="00633A94" w:rsidRDefault="009650E2">
            <w:pPr>
              <w:rPr>
                <w:rFonts w:cs="Arial"/>
                <w:b/>
                <w:color w:val="FFFFFF"/>
                <w:szCs w:val="20"/>
              </w:rPr>
            </w:pPr>
          </w:p>
        </w:tc>
      </w:tr>
      <w:tr w:rsidR="009650E2" w:rsidRPr="00633A94" w:rsidTr="00B257C4">
        <w:trPr>
          <w:cantSplit/>
        </w:trPr>
        <w:tc>
          <w:tcPr>
            <w:tcW w:w="10712" w:type="dxa"/>
            <w:gridSpan w:val="5"/>
            <w:tcBorders>
              <w:top w:val="single" w:sz="4" w:space="0" w:color="auto"/>
              <w:left w:val="single" w:sz="4" w:space="0" w:color="auto"/>
              <w:bottom w:val="single" w:sz="4" w:space="0" w:color="auto"/>
              <w:right w:val="single" w:sz="4" w:space="0" w:color="auto"/>
            </w:tcBorders>
            <w:shd w:val="clear" w:color="auto" w:fill="404040"/>
            <w:tcMar>
              <w:bottom w:w="113" w:type="dxa"/>
            </w:tcMar>
            <w:vAlign w:val="center"/>
          </w:tcPr>
          <w:p w:rsidR="00D820EA" w:rsidRDefault="009A3B7F">
            <w:pPr>
              <w:keepNext/>
              <w:ind w:left="141"/>
              <w:rPr>
                <w:rFonts w:cs="Arial"/>
                <w:b/>
                <w:color w:val="FFFFFF"/>
                <w:szCs w:val="20"/>
              </w:rPr>
            </w:pPr>
            <w:r>
              <w:rPr>
                <w:rFonts w:cs="Arial"/>
                <w:b/>
                <w:color w:val="FFFFFF"/>
                <w:szCs w:val="20"/>
              </w:rPr>
              <w:lastRenderedPageBreak/>
              <w:t>Losses</w:t>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Pr>
                <w:rFonts w:cs="Arial"/>
                <w:b/>
                <w:bCs/>
                <w:szCs w:val="20"/>
              </w:rPr>
              <w:t>L1</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072616" w:rsidRDefault="00D820EA" w:rsidP="00E03687">
            <w:pPr>
              <w:pStyle w:val="Table"/>
              <w:rPr>
                <w:rFonts w:cs="Arial"/>
                <w:b/>
                <w:sz w:val="20"/>
                <w:szCs w:val="20"/>
              </w:rPr>
            </w:pPr>
            <w:r w:rsidRPr="00072616">
              <w:rPr>
                <w:rFonts w:cs="Arial"/>
                <w:b/>
                <w:sz w:val="20"/>
                <w:szCs w:val="20"/>
              </w:rPr>
              <w:t>Tax losses of earlier income years</w:t>
            </w:r>
          </w:p>
          <w:p w:rsidR="009650E2" w:rsidRPr="00072616" w:rsidRDefault="00D820EA" w:rsidP="00E03687">
            <w:pPr>
              <w:pStyle w:val="Table"/>
              <w:rPr>
                <w:rFonts w:cs="Arial"/>
                <w:sz w:val="20"/>
                <w:szCs w:val="20"/>
              </w:rPr>
            </w:pPr>
            <w:r w:rsidRPr="00072616">
              <w:rPr>
                <w:rFonts w:cs="Arial"/>
                <w:b/>
                <w:sz w:val="20"/>
                <w:szCs w:val="20"/>
              </w:rPr>
              <w:t>Tax tip:</w:t>
            </w:r>
            <w:r w:rsidRPr="00072616">
              <w:rPr>
                <w:rFonts w:cs="Arial"/>
                <w:sz w:val="20"/>
                <w:szCs w:val="20"/>
              </w:rPr>
              <w:t xml:space="preserve"> a superannuation deduction cannot increase a carry forward loss.</w:t>
            </w:r>
          </w:p>
          <w:p w:rsidR="009650E2" w:rsidRPr="00633A94" w:rsidRDefault="00D820EA" w:rsidP="00E03687">
            <w:pPr>
              <w:pStyle w:val="Table"/>
              <w:rPr>
                <w:rFonts w:cs="Arial"/>
                <w:b/>
                <w:sz w:val="20"/>
                <w:szCs w:val="20"/>
              </w:rPr>
            </w:pPr>
            <w:r w:rsidRPr="00072616">
              <w:rPr>
                <w:rFonts w:cs="Arial"/>
                <w:sz w:val="20"/>
                <w:szCs w:val="20"/>
              </w:rPr>
              <w:t>Ensure that there is a split between primary and non-primary production losses, where applicable.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Pr>
        <w:tc>
          <w:tcPr>
            <w:tcW w:w="10712" w:type="dxa"/>
            <w:gridSpan w:val="5"/>
            <w:tcBorders>
              <w:top w:val="single" w:sz="4" w:space="0" w:color="auto"/>
              <w:left w:val="single" w:sz="4" w:space="0" w:color="auto"/>
              <w:bottom w:val="single" w:sz="4" w:space="0" w:color="auto"/>
              <w:right w:val="single" w:sz="4" w:space="0" w:color="auto"/>
            </w:tcBorders>
            <w:shd w:val="clear" w:color="auto" w:fill="404040"/>
            <w:tcMar>
              <w:bottom w:w="113" w:type="dxa"/>
            </w:tcMar>
            <w:vAlign w:val="center"/>
          </w:tcPr>
          <w:p w:rsidR="00D820EA" w:rsidRDefault="009A3B7F">
            <w:pPr>
              <w:keepNext/>
              <w:ind w:left="141"/>
              <w:rPr>
                <w:rFonts w:cs="Arial"/>
                <w:b/>
                <w:color w:val="FFFFFF"/>
                <w:szCs w:val="20"/>
              </w:rPr>
            </w:pPr>
            <w:r>
              <w:rPr>
                <w:rFonts w:cs="Arial"/>
                <w:b/>
                <w:color w:val="FFFFFF"/>
                <w:szCs w:val="20"/>
              </w:rPr>
              <w:t>Tax Offsets</w:t>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D5503">
            <w:pPr>
              <w:jc w:val="center"/>
              <w:rPr>
                <w:rFonts w:cs="Arial"/>
                <w:b/>
                <w:bCs/>
                <w:szCs w:val="20"/>
              </w:rPr>
            </w:pPr>
            <w:r>
              <w:rPr>
                <w:rFonts w:cs="Arial"/>
                <w:b/>
                <w:bCs/>
                <w:szCs w:val="20"/>
              </w:rPr>
              <w:t>T</w:t>
            </w:r>
            <w:r w:rsidR="00DD5503">
              <w:rPr>
                <w:rFonts w:cs="Arial"/>
                <w:b/>
                <w:bCs/>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F86D41" w:rsidRDefault="00D820EA" w:rsidP="00E03687">
            <w:pPr>
              <w:pStyle w:val="Table"/>
              <w:rPr>
                <w:rFonts w:cs="Arial"/>
                <w:b/>
                <w:color w:val="FF0000"/>
                <w:sz w:val="20"/>
                <w:szCs w:val="20"/>
              </w:rPr>
            </w:pPr>
            <w:r w:rsidRPr="00DD5503">
              <w:rPr>
                <w:rFonts w:cs="Arial"/>
                <w:b/>
                <w:color w:val="000000" w:themeColor="text1"/>
                <w:sz w:val="20"/>
                <w:szCs w:val="20"/>
              </w:rPr>
              <w:t>Senior Australians and pensioners (includes age pensioners, service pensioners and self-funded retirees)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87"/>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D5503">
            <w:pPr>
              <w:jc w:val="center"/>
              <w:rPr>
                <w:rFonts w:cs="Arial"/>
                <w:b/>
                <w:bCs/>
                <w:szCs w:val="20"/>
              </w:rPr>
            </w:pPr>
            <w:r>
              <w:rPr>
                <w:rFonts w:cs="Arial"/>
                <w:b/>
                <w:bCs/>
                <w:szCs w:val="20"/>
              </w:rPr>
              <w:t>T</w:t>
            </w:r>
            <w:r w:rsidR="00DD5503">
              <w:rPr>
                <w:rFonts w:cs="Arial"/>
                <w:b/>
                <w:bCs/>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Australian superannuation income stream</w:t>
            </w:r>
          </w:p>
          <w:p w:rsidR="009650E2" w:rsidRPr="00633A94" w:rsidRDefault="00D820EA" w:rsidP="00E03687">
            <w:pPr>
              <w:pStyle w:val="Table"/>
              <w:rPr>
                <w:rFonts w:cs="Arial"/>
                <w:b/>
                <w:sz w:val="20"/>
                <w:szCs w:val="20"/>
              </w:rPr>
            </w:pPr>
            <w:r w:rsidRPr="00D820EA">
              <w:rPr>
                <w:rFonts w:cs="Arial"/>
                <w:sz w:val="20"/>
                <w:szCs w:val="20"/>
              </w:rPr>
              <w:t>A tax offset for non-deductible superannuation contributions is available for certain low income employees. An offset can also be claimed in respect of certain annuity / pension payments.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Pr>
        <w:tc>
          <w:tcPr>
            <w:tcW w:w="10712" w:type="dxa"/>
            <w:gridSpan w:val="5"/>
            <w:tcBorders>
              <w:top w:val="single" w:sz="4" w:space="0" w:color="auto"/>
              <w:left w:val="single" w:sz="4" w:space="0" w:color="auto"/>
              <w:bottom w:val="single" w:sz="4" w:space="0" w:color="auto"/>
              <w:right w:val="single" w:sz="4" w:space="0" w:color="auto"/>
            </w:tcBorders>
            <w:shd w:val="clear" w:color="auto" w:fill="404040"/>
            <w:tcMar>
              <w:bottom w:w="113" w:type="dxa"/>
            </w:tcMar>
            <w:vAlign w:val="center"/>
          </w:tcPr>
          <w:p w:rsidR="00D820EA" w:rsidRDefault="009A3B7F">
            <w:pPr>
              <w:keepNext/>
              <w:ind w:left="141"/>
              <w:rPr>
                <w:rFonts w:cs="Arial"/>
                <w:b/>
                <w:color w:val="FFFFFF"/>
                <w:szCs w:val="20"/>
              </w:rPr>
            </w:pPr>
            <w:r>
              <w:rPr>
                <w:rFonts w:cs="Arial"/>
                <w:b/>
                <w:color w:val="FFFFFF"/>
                <w:szCs w:val="20"/>
              </w:rPr>
              <w:t>Supplement Tax Offsets</w:t>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D5503">
            <w:pPr>
              <w:jc w:val="center"/>
              <w:rPr>
                <w:rFonts w:cs="Arial"/>
                <w:b/>
                <w:bCs/>
                <w:szCs w:val="20"/>
              </w:rPr>
            </w:pPr>
            <w:r>
              <w:rPr>
                <w:rFonts w:cs="Arial"/>
                <w:b/>
                <w:bCs/>
                <w:szCs w:val="20"/>
              </w:rPr>
              <w:t>T</w:t>
            </w:r>
            <w:r w:rsidR="00DD5503">
              <w:rPr>
                <w:rFonts w:cs="Arial"/>
                <w:b/>
                <w:bCs/>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Superannuation contributions on behalf of your spouse</w:t>
            </w:r>
          </w:p>
          <w:p w:rsidR="009650E2" w:rsidRPr="00633A94" w:rsidRDefault="00D820EA" w:rsidP="00E03687">
            <w:pPr>
              <w:pStyle w:val="Table"/>
              <w:rPr>
                <w:rFonts w:cs="Arial"/>
                <w:sz w:val="20"/>
                <w:szCs w:val="20"/>
              </w:rPr>
            </w:pPr>
            <w:r w:rsidRPr="00D820EA">
              <w:rPr>
                <w:rFonts w:cs="Arial"/>
                <w:sz w:val="20"/>
                <w:szCs w:val="20"/>
              </w:rPr>
              <w:t>Client can claim rebate on superannuation contributions made on behalf of a spouse where the aggregate amount of the spouse’s assessable income and reportable fringe benefits does not exceed $13,800.</w:t>
            </w:r>
          </w:p>
          <w:p w:rsidR="009650E2" w:rsidRPr="00633A94" w:rsidRDefault="00D820EA" w:rsidP="00E03687">
            <w:pPr>
              <w:pStyle w:val="Table"/>
              <w:rPr>
                <w:rFonts w:cs="Arial"/>
                <w:b/>
                <w:sz w:val="20"/>
                <w:szCs w:val="20"/>
              </w:rPr>
            </w:pPr>
            <w:r w:rsidRPr="00D820EA">
              <w:rPr>
                <w:rFonts w:cs="Arial"/>
                <w:b/>
                <w:sz w:val="20"/>
                <w:szCs w:val="20"/>
              </w:rPr>
              <w:t>Tax tip</w:t>
            </w:r>
            <w:r w:rsidRPr="00D820EA">
              <w:rPr>
                <w:rFonts w:cs="Arial"/>
                <w:sz w:val="20"/>
                <w:szCs w:val="20"/>
              </w:rPr>
              <w:t>: the maximum rebate that can be claimed is $540.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D5503">
            <w:pPr>
              <w:jc w:val="center"/>
              <w:rPr>
                <w:rFonts w:cs="Arial"/>
                <w:b/>
                <w:bCs/>
                <w:szCs w:val="20"/>
              </w:rPr>
            </w:pPr>
            <w:r>
              <w:rPr>
                <w:rFonts w:cs="Arial"/>
                <w:b/>
                <w:bCs/>
                <w:szCs w:val="20"/>
              </w:rPr>
              <w:t>T</w:t>
            </w:r>
            <w:r w:rsidR="00DD5503">
              <w:rPr>
                <w:rFonts w:cs="Arial"/>
                <w:b/>
                <w:bCs/>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Zone</w:t>
            </w:r>
            <w:r w:rsidR="00FC7100">
              <w:rPr>
                <w:rFonts w:cs="Arial"/>
                <w:b/>
                <w:sz w:val="20"/>
                <w:szCs w:val="20"/>
              </w:rPr>
              <w:t>,</w:t>
            </w:r>
            <w:r w:rsidRPr="00D820EA">
              <w:rPr>
                <w:rFonts w:cs="Arial"/>
                <w:b/>
                <w:sz w:val="20"/>
                <w:szCs w:val="20"/>
              </w:rPr>
              <w:t xml:space="preserve"> overseas forces</w:t>
            </w:r>
            <w:r w:rsidR="00FC7100">
              <w:rPr>
                <w:rFonts w:cs="Arial"/>
                <w:b/>
                <w:sz w:val="20"/>
                <w:szCs w:val="20"/>
              </w:rPr>
              <w:t xml:space="preserve"> or overseas civilian</w:t>
            </w:r>
          </w:p>
          <w:p w:rsidR="009650E2" w:rsidRPr="00633A94" w:rsidRDefault="00D820EA" w:rsidP="00FC7100">
            <w:pPr>
              <w:pStyle w:val="Table"/>
              <w:rPr>
                <w:rFonts w:cs="Arial"/>
                <w:b/>
                <w:sz w:val="20"/>
                <w:szCs w:val="20"/>
              </w:rPr>
            </w:pPr>
            <w:r w:rsidRPr="00D820EA">
              <w:rPr>
                <w:rFonts w:cs="Arial"/>
                <w:sz w:val="20"/>
                <w:szCs w:val="20"/>
              </w:rPr>
              <w:t xml:space="preserve">If the client lived or worked in a remote or isolated area of Australia, served overseas as a member of Australia’s Defence Forces </w:t>
            </w:r>
            <w:r w:rsidR="00FC7100">
              <w:rPr>
                <w:rFonts w:cs="Arial"/>
                <w:sz w:val="20"/>
                <w:szCs w:val="20"/>
              </w:rPr>
              <w:t xml:space="preserve">or served overseas as a civilian with UN armed forces, </w:t>
            </w:r>
            <w:r w:rsidRPr="00D820EA">
              <w:rPr>
                <w:rFonts w:cs="Arial"/>
                <w:sz w:val="20"/>
                <w:szCs w:val="20"/>
              </w:rPr>
              <w:t>they may be eligible for this offset.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D5503">
            <w:pPr>
              <w:jc w:val="center"/>
              <w:rPr>
                <w:rFonts w:cs="Arial"/>
                <w:b/>
                <w:bCs/>
                <w:szCs w:val="20"/>
              </w:rPr>
            </w:pPr>
            <w:r>
              <w:rPr>
                <w:rFonts w:cs="Arial"/>
                <w:b/>
                <w:bCs/>
                <w:szCs w:val="20"/>
              </w:rPr>
              <w:lastRenderedPageBreak/>
              <w:t>T</w:t>
            </w:r>
            <w:r w:rsidR="00DD5503">
              <w:rPr>
                <w:rFonts w:cs="Arial"/>
                <w:b/>
                <w:bCs/>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20% tax offset on net medical expenses over the threshold amount</w:t>
            </w:r>
          </w:p>
          <w:p w:rsidR="009650E2" w:rsidRPr="00D25D87" w:rsidRDefault="00D820EA" w:rsidP="00E03687">
            <w:pPr>
              <w:pStyle w:val="Table"/>
              <w:rPr>
                <w:rFonts w:cs="Arial"/>
                <w:color w:val="000000" w:themeColor="text1"/>
                <w:sz w:val="20"/>
                <w:szCs w:val="20"/>
              </w:rPr>
            </w:pPr>
            <w:r w:rsidRPr="00D25D87">
              <w:rPr>
                <w:rFonts w:cs="Arial"/>
                <w:color w:val="000000" w:themeColor="text1"/>
                <w:sz w:val="20"/>
                <w:szCs w:val="20"/>
              </w:rPr>
              <w:t xml:space="preserve">Obtain details of gross </w:t>
            </w:r>
            <w:r w:rsidR="009C6A2E" w:rsidRPr="00D25D87">
              <w:rPr>
                <w:rFonts w:cs="Arial"/>
                <w:color w:val="000000" w:themeColor="text1"/>
                <w:sz w:val="20"/>
                <w:szCs w:val="20"/>
              </w:rPr>
              <w:t xml:space="preserve">qualifying </w:t>
            </w:r>
            <w:r w:rsidRPr="00D25D87">
              <w:rPr>
                <w:rFonts w:cs="Arial"/>
                <w:color w:val="000000" w:themeColor="text1"/>
                <w:sz w:val="20"/>
                <w:szCs w:val="20"/>
              </w:rPr>
              <w:t>medical expenses (and subtract related refunds the taxpayer received or is entitled to receive from Medicare or a private health fund).</w:t>
            </w:r>
          </w:p>
          <w:p w:rsidR="009650E2" w:rsidRPr="00D25D87" w:rsidRDefault="00D820EA" w:rsidP="00E03687">
            <w:pPr>
              <w:pStyle w:val="Table"/>
              <w:rPr>
                <w:rFonts w:cs="Arial"/>
                <w:color w:val="000000" w:themeColor="text1"/>
                <w:sz w:val="20"/>
                <w:szCs w:val="20"/>
              </w:rPr>
            </w:pPr>
            <w:r w:rsidRPr="00D25D87">
              <w:rPr>
                <w:rFonts w:cs="Arial"/>
                <w:color w:val="000000" w:themeColor="text1"/>
                <w:sz w:val="20"/>
                <w:szCs w:val="20"/>
              </w:rPr>
              <w:t xml:space="preserve">The 20% offset </w:t>
            </w:r>
            <w:r w:rsidR="009C6A2E" w:rsidRPr="00D25D87">
              <w:rPr>
                <w:rFonts w:cs="Arial"/>
                <w:color w:val="000000" w:themeColor="text1"/>
                <w:sz w:val="20"/>
                <w:szCs w:val="20"/>
              </w:rPr>
              <w:t xml:space="preserve">may </w:t>
            </w:r>
            <w:r w:rsidRPr="00D25D87">
              <w:rPr>
                <w:rFonts w:cs="Arial"/>
                <w:color w:val="000000" w:themeColor="text1"/>
                <w:sz w:val="20"/>
                <w:szCs w:val="20"/>
              </w:rPr>
              <w:t>be available where the total of all the net medical expenses of a taxpayer (and dependents) exceeds $2,</w:t>
            </w:r>
            <w:r w:rsidR="00D25D87" w:rsidRPr="00D25D87">
              <w:rPr>
                <w:rFonts w:cs="Arial"/>
                <w:color w:val="000000" w:themeColor="text1"/>
                <w:sz w:val="20"/>
                <w:szCs w:val="20"/>
              </w:rPr>
              <w:t>218</w:t>
            </w:r>
            <w:r w:rsidRPr="00D25D87">
              <w:rPr>
                <w:rFonts w:cs="Arial"/>
                <w:color w:val="000000" w:themeColor="text1"/>
                <w:sz w:val="20"/>
                <w:szCs w:val="20"/>
              </w:rPr>
              <w:t xml:space="preserve">. </w:t>
            </w:r>
          </w:p>
          <w:p w:rsidR="009650E2" w:rsidRPr="00D25D87" w:rsidRDefault="00D820EA" w:rsidP="00E03687">
            <w:pPr>
              <w:pStyle w:val="Table"/>
              <w:rPr>
                <w:rFonts w:cs="Arial"/>
                <w:color w:val="000000" w:themeColor="text1"/>
                <w:sz w:val="20"/>
                <w:szCs w:val="20"/>
              </w:rPr>
            </w:pPr>
            <w:r w:rsidRPr="00D25D87">
              <w:rPr>
                <w:rFonts w:cs="Arial"/>
                <w:color w:val="000000" w:themeColor="text1"/>
                <w:sz w:val="20"/>
                <w:szCs w:val="20"/>
              </w:rPr>
              <w:t>For taxpayers with adjusted taxable income above $</w:t>
            </w:r>
            <w:r w:rsidR="00D25D87" w:rsidRPr="00D25D87">
              <w:rPr>
                <w:rFonts w:cs="Arial"/>
                <w:color w:val="000000" w:themeColor="text1"/>
                <w:sz w:val="20"/>
                <w:szCs w:val="20"/>
              </w:rPr>
              <w:t>90</w:t>
            </w:r>
            <w:r w:rsidRPr="00D25D87">
              <w:rPr>
                <w:rFonts w:cs="Arial"/>
                <w:color w:val="000000" w:themeColor="text1"/>
                <w:sz w:val="20"/>
                <w:szCs w:val="20"/>
              </w:rPr>
              <w:t>,000 for singles, or $</w:t>
            </w:r>
            <w:r w:rsidR="00FC7100" w:rsidRPr="00D25D87">
              <w:rPr>
                <w:rFonts w:cs="Arial"/>
                <w:color w:val="000000" w:themeColor="text1"/>
                <w:sz w:val="20"/>
                <w:szCs w:val="20"/>
              </w:rPr>
              <w:t>1</w:t>
            </w:r>
            <w:r w:rsidR="00D25D87" w:rsidRPr="00D25D87">
              <w:rPr>
                <w:rFonts w:cs="Arial"/>
                <w:color w:val="000000" w:themeColor="text1"/>
                <w:sz w:val="20"/>
                <w:szCs w:val="20"/>
              </w:rPr>
              <w:t>80</w:t>
            </w:r>
            <w:r w:rsidRPr="00D25D87">
              <w:rPr>
                <w:rFonts w:cs="Arial"/>
                <w:color w:val="000000" w:themeColor="text1"/>
                <w:sz w:val="20"/>
                <w:szCs w:val="20"/>
              </w:rPr>
              <w:t xml:space="preserve">,000 for families, a 10% offset </w:t>
            </w:r>
            <w:r w:rsidR="009C6A2E" w:rsidRPr="00D25D87">
              <w:rPr>
                <w:rFonts w:cs="Arial"/>
                <w:color w:val="000000" w:themeColor="text1"/>
                <w:sz w:val="20"/>
                <w:szCs w:val="20"/>
              </w:rPr>
              <w:t xml:space="preserve">may </w:t>
            </w:r>
            <w:r w:rsidRPr="00D25D87">
              <w:rPr>
                <w:rFonts w:cs="Arial"/>
                <w:color w:val="000000" w:themeColor="text1"/>
                <w:sz w:val="20"/>
                <w:szCs w:val="20"/>
              </w:rPr>
              <w:t>be available for net medical expenses of a taxpayer (and dependants) exceeding $5,</w:t>
            </w:r>
            <w:r w:rsidR="00D25D87" w:rsidRPr="00D25D87">
              <w:rPr>
                <w:rFonts w:cs="Arial"/>
                <w:color w:val="000000" w:themeColor="text1"/>
                <w:sz w:val="20"/>
                <w:szCs w:val="20"/>
              </w:rPr>
              <w:t>233</w:t>
            </w:r>
            <w:r w:rsidRPr="00D25D87">
              <w:rPr>
                <w:rFonts w:cs="Arial"/>
                <w:color w:val="000000" w:themeColor="text1"/>
                <w:sz w:val="20"/>
                <w:szCs w:val="20"/>
              </w:rPr>
              <w:t>.</w:t>
            </w:r>
          </w:p>
          <w:p w:rsidR="009650E2" w:rsidRPr="00DD5503" w:rsidRDefault="00D820EA" w:rsidP="00E03687">
            <w:pPr>
              <w:pStyle w:val="Table"/>
              <w:rPr>
                <w:rFonts w:cs="Arial"/>
                <w:color w:val="000000" w:themeColor="text1"/>
                <w:sz w:val="16"/>
                <w:szCs w:val="16"/>
              </w:rPr>
            </w:pPr>
            <w:r w:rsidRPr="00D25D87">
              <w:rPr>
                <w:rFonts w:cs="Arial"/>
                <w:b/>
                <w:color w:val="000000" w:themeColor="text1"/>
                <w:sz w:val="16"/>
                <w:szCs w:val="16"/>
              </w:rPr>
              <w:t>Tax tip</w:t>
            </w:r>
            <w:r w:rsidRPr="00D25D87">
              <w:rPr>
                <w:rFonts w:cs="Arial"/>
                <w:color w:val="000000" w:themeColor="text1"/>
                <w:sz w:val="16"/>
                <w:szCs w:val="16"/>
              </w:rPr>
              <w:t xml:space="preserve">: the </w:t>
            </w:r>
            <w:r w:rsidR="00FC7100" w:rsidRPr="00D25D87">
              <w:rPr>
                <w:rFonts w:cs="Arial"/>
                <w:color w:val="000000" w:themeColor="text1"/>
                <w:sz w:val="16"/>
                <w:szCs w:val="16"/>
              </w:rPr>
              <w:t xml:space="preserve">offset </w:t>
            </w:r>
            <w:r w:rsidRPr="00D25D87">
              <w:rPr>
                <w:rFonts w:cs="Arial"/>
                <w:color w:val="000000" w:themeColor="text1"/>
                <w:sz w:val="16"/>
                <w:szCs w:val="16"/>
              </w:rPr>
              <w:t xml:space="preserve">applies to most medical and related therapeutic treatment of a taxpayer and dependents but excludes certain cosmetic </w:t>
            </w:r>
            <w:r w:rsidRPr="00DD5503">
              <w:rPr>
                <w:rFonts w:cs="Arial"/>
                <w:color w:val="000000" w:themeColor="text1"/>
                <w:sz w:val="16"/>
                <w:szCs w:val="16"/>
              </w:rPr>
              <w:t>surgery.</w:t>
            </w:r>
          </w:p>
          <w:p w:rsidR="009650E2" w:rsidRPr="00DD5503" w:rsidRDefault="00D820EA" w:rsidP="00E03687">
            <w:pPr>
              <w:pStyle w:val="NormalWeb"/>
              <w:rPr>
                <w:rFonts w:ascii="Arial" w:eastAsia="MS Gothic" w:hAnsi="Arial" w:cs="Arial"/>
                <w:color w:val="000000" w:themeColor="text1"/>
                <w:sz w:val="16"/>
                <w:szCs w:val="16"/>
                <w:lang w:eastAsia="en-US"/>
              </w:rPr>
            </w:pPr>
            <w:r w:rsidRPr="00DD5503">
              <w:rPr>
                <w:rFonts w:ascii="Arial" w:hAnsi="Arial" w:cs="Arial"/>
                <w:b/>
                <w:color w:val="000000" w:themeColor="text1"/>
                <w:sz w:val="16"/>
                <w:szCs w:val="16"/>
              </w:rPr>
              <w:t xml:space="preserve">Note: </w:t>
            </w:r>
            <w:r w:rsidRPr="00DD5503">
              <w:rPr>
                <w:rFonts w:ascii="Arial" w:eastAsia="MS Gothic" w:hAnsi="Arial" w:cs="Arial"/>
                <w:color w:val="000000" w:themeColor="text1"/>
                <w:sz w:val="16"/>
                <w:szCs w:val="16"/>
                <w:lang w:eastAsia="en-US"/>
              </w:rPr>
              <w:t xml:space="preserve">The medical expense offset </w:t>
            </w:r>
            <w:r w:rsidR="009C6A2E" w:rsidRPr="00DD5503">
              <w:rPr>
                <w:rFonts w:ascii="Arial" w:eastAsia="MS Gothic" w:hAnsi="Arial" w:cs="Arial"/>
                <w:color w:val="000000" w:themeColor="text1"/>
                <w:sz w:val="16"/>
                <w:szCs w:val="16"/>
                <w:lang w:eastAsia="en-US"/>
              </w:rPr>
              <w:t>is being</w:t>
            </w:r>
            <w:r w:rsidRPr="00DD5503">
              <w:rPr>
                <w:rFonts w:ascii="Arial" w:eastAsia="MS Gothic" w:hAnsi="Arial" w:cs="Arial"/>
                <w:color w:val="000000" w:themeColor="text1"/>
                <w:sz w:val="16"/>
                <w:szCs w:val="16"/>
                <w:lang w:eastAsia="en-US"/>
              </w:rPr>
              <w:t xml:space="preserve"> phased out. </w:t>
            </w:r>
            <w:r w:rsidR="009C6A2E" w:rsidRPr="00DD5503">
              <w:rPr>
                <w:rFonts w:ascii="Arial" w:eastAsia="MS Gothic" w:hAnsi="Arial" w:cs="Arial"/>
                <w:color w:val="000000" w:themeColor="text1"/>
                <w:sz w:val="16"/>
                <w:szCs w:val="16"/>
                <w:lang w:eastAsia="en-US"/>
              </w:rPr>
              <w:t xml:space="preserve">From 2013-14, taxpayers </w:t>
            </w:r>
            <w:r w:rsidR="00DD5503" w:rsidRPr="00DD5503">
              <w:rPr>
                <w:rFonts w:ascii="Arial" w:eastAsia="MS Gothic" w:hAnsi="Arial" w:cs="Arial"/>
                <w:color w:val="000000" w:themeColor="text1"/>
                <w:sz w:val="16"/>
                <w:szCs w:val="16"/>
                <w:lang w:eastAsia="en-US"/>
              </w:rPr>
              <w:t>are</w:t>
            </w:r>
            <w:r w:rsidR="009C6A2E" w:rsidRPr="00DD5503">
              <w:rPr>
                <w:rFonts w:ascii="Arial" w:eastAsia="MS Gothic" w:hAnsi="Arial" w:cs="Arial"/>
                <w:color w:val="000000" w:themeColor="text1"/>
                <w:sz w:val="16"/>
                <w:szCs w:val="16"/>
                <w:lang w:eastAsia="en-US"/>
              </w:rPr>
              <w:t xml:space="preserve"> generally eligible to claim the offset only in respect of out-of-pocket medical expenses relating to disability aids, attendant care or aged care expenses until 1 July 2019. However, t</w:t>
            </w:r>
            <w:r w:rsidRPr="00DD5503">
              <w:rPr>
                <w:rFonts w:ascii="Arial" w:eastAsia="MS Gothic" w:hAnsi="Arial" w:cs="Arial"/>
                <w:color w:val="000000" w:themeColor="text1"/>
                <w:sz w:val="16"/>
                <w:szCs w:val="16"/>
                <w:lang w:eastAsia="en-US"/>
              </w:rPr>
              <w:t xml:space="preserve">hose taxpayers who received the offset in </w:t>
            </w:r>
            <w:r w:rsidR="009C6A2E" w:rsidRPr="00DD5503">
              <w:rPr>
                <w:rFonts w:ascii="Arial" w:eastAsia="MS Gothic" w:hAnsi="Arial" w:cs="Arial"/>
                <w:color w:val="000000" w:themeColor="text1"/>
                <w:sz w:val="16"/>
                <w:szCs w:val="16"/>
                <w:lang w:eastAsia="en-US"/>
              </w:rPr>
              <w:t xml:space="preserve">both </w:t>
            </w:r>
            <w:r w:rsidRPr="00DD5503">
              <w:rPr>
                <w:rFonts w:ascii="Arial" w:eastAsia="MS Gothic" w:hAnsi="Arial" w:cs="Arial"/>
                <w:color w:val="000000" w:themeColor="text1"/>
                <w:sz w:val="16"/>
                <w:szCs w:val="16"/>
                <w:lang w:eastAsia="en-US"/>
              </w:rPr>
              <w:t xml:space="preserve">their </w:t>
            </w:r>
            <w:r w:rsidR="009C6A2E" w:rsidRPr="00DD5503">
              <w:rPr>
                <w:rFonts w:ascii="Arial" w:eastAsia="MS Gothic" w:hAnsi="Arial" w:cs="Arial"/>
                <w:color w:val="000000" w:themeColor="text1"/>
                <w:sz w:val="16"/>
                <w:szCs w:val="16"/>
                <w:lang w:eastAsia="en-US"/>
              </w:rPr>
              <w:t xml:space="preserve">2012-13 and </w:t>
            </w:r>
            <w:r w:rsidRPr="00DD5503">
              <w:rPr>
                <w:rFonts w:ascii="Arial" w:eastAsia="MS Gothic" w:hAnsi="Arial" w:cs="Arial"/>
                <w:color w:val="000000" w:themeColor="text1"/>
                <w:sz w:val="16"/>
                <w:szCs w:val="16"/>
                <w:lang w:eastAsia="en-US"/>
              </w:rPr>
              <w:t>2013-14 income tax assessment</w:t>
            </w:r>
            <w:r w:rsidR="009C6A2E" w:rsidRPr="00DD5503">
              <w:rPr>
                <w:rFonts w:ascii="Arial" w:eastAsia="MS Gothic" w:hAnsi="Arial" w:cs="Arial"/>
                <w:color w:val="000000" w:themeColor="text1"/>
                <w:sz w:val="16"/>
                <w:szCs w:val="16"/>
                <w:lang w:eastAsia="en-US"/>
              </w:rPr>
              <w:t>s</w:t>
            </w:r>
            <w:r w:rsidRPr="00DD5503">
              <w:rPr>
                <w:rFonts w:ascii="Arial" w:eastAsia="MS Gothic" w:hAnsi="Arial" w:cs="Arial"/>
                <w:color w:val="000000" w:themeColor="text1"/>
                <w:sz w:val="16"/>
                <w:szCs w:val="16"/>
                <w:lang w:eastAsia="en-US"/>
              </w:rPr>
              <w:t xml:space="preserve"> continue to be eligible for the offset in 2014-15</w:t>
            </w:r>
            <w:r w:rsidR="009C6A2E" w:rsidRPr="00DD5503">
              <w:rPr>
                <w:rFonts w:ascii="Arial" w:eastAsia="MS Gothic" w:hAnsi="Arial" w:cs="Arial"/>
                <w:color w:val="000000" w:themeColor="text1"/>
                <w:sz w:val="16"/>
                <w:szCs w:val="16"/>
                <w:lang w:eastAsia="en-US"/>
              </w:rPr>
              <w:t xml:space="preserve"> in respect of all qualifying out-of-pocket medical expenses above the relevant threshold</w:t>
            </w:r>
            <w:r w:rsidRPr="00DD5503">
              <w:rPr>
                <w:rFonts w:ascii="Arial" w:eastAsia="MS Gothic" w:hAnsi="Arial" w:cs="Arial"/>
                <w:color w:val="000000" w:themeColor="text1"/>
                <w:sz w:val="16"/>
                <w:szCs w:val="16"/>
                <w:lang w:eastAsia="en-US"/>
              </w:rPr>
              <w:t>.</w:t>
            </w:r>
          </w:p>
          <w:p w:rsidR="009650E2" w:rsidRPr="00633A94" w:rsidRDefault="009650E2" w:rsidP="00E03687">
            <w:pPr>
              <w:pStyle w:val="Table"/>
              <w:rPr>
                <w:rFonts w:cs="Arial"/>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E85DB8">
            <w:pPr>
              <w:jc w:val="center"/>
              <w:rPr>
                <w:rFonts w:cs="Arial"/>
                <w:b/>
                <w:bCs/>
                <w:szCs w:val="20"/>
              </w:rPr>
            </w:pPr>
            <w:r>
              <w:rPr>
                <w:rFonts w:cs="Arial"/>
                <w:b/>
                <w:bCs/>
                <w:szCs w:val="20"/>
              </w:rPr>
              <w:t>T</w:t>
            </w:r>
            <w:r w:rsidR="00E85DB8">
              <w:rPr>
                <w:rFonts w:cs="Arial"/>
                <w:b/>
                <w:bCs/>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E85DB8" w:rsidP="00E03687">
            <w:pPr>
              <w:pStyle w:val="Table"/>
              <w:rPr>
                <w:rFonts w:cs="Arial"/>
                <w:b/>
                <w:sz w:val="20"/>
                <w:szCs w:val="20"/>
              </w:rPr>
            </w:pPr>
            <w:r>
              <w:rPr>
                <w:rFonts w:cs="Arial"/>
                <w:b/>
                <w:sz w:val="20"/>
                <w:szCs w:val="20"/>
              </w:rPr>
              <w:t>I</w:t>
            </w:r>
            <w:r w:rsidR="00BE41C7">
              <w:rPr>
                <w:rFonts w:cs="Arial"/>
                <w:b/>
                <w:sz w:val="20"/>
                <w:szCs w:val="20"/>
              </w:rPr>
              <w:t xml:space="preserve">nvalid and </w:t>
            </w:r>
            <w:r>
              <w:rPr>
                <w:rFonts w:cs="Arial"/>
                <w:b/>
                <w:sz w:val="20"/>
                <w:szCs w:val="20"/>
              </w:rPr>
              <w:t xml:space="preserve">invalid </w:t>
            </w:r>
            <w:r w:rsidR="00BE41C7">
              <w:rPr>
                <w:rFonts w:cs="Arial"/>
                <w:b/>
                <w:sz w:val="20"/>
                <w:szCs w:val="20"/>
              </w:rPr>
              <w:t>carer</w:t>
            </w:r>
          </w:p>
          <w:p w:rsidR="009650E2" w:rsidRPr="00633A94" w:rsidRDefault="00D820EA" w:rsidP="00E85DB8">
            <w:pPr>
              <w:pStyle w:val="Table"/>
              <w:rPr>
                <w:rFonts w:cs="Arial"/>
                <w:b/>
                <w:sz w:val="20"/>
                <w:szCs w:val="20"/>
              </w:rPr>
            </w:pPr>
            <w:r w:rsidRPr="00D820EA">
              <w:rPr>
                <w:rFonts w:cs="Arial"/>
                <w:sz w:val="20"/>
                <w:szCs w:val="20"/>
              </w:rPr>
              <w:t>Tax offset only available where a</w:t>
            </w:r>
            <w:r w:rsidR="00E85DB8">
              <w:rPr>
                <w:rFonts w:cs="Arial"/>
                <w:sz w:val="20"/>
                <w:szCs w:val="20"/>
              </w:rPr>
              <w:t xml:space="preserve">n invalid or carer of an invalid is maintained by the </w:t>
            </w:r>
            <w:r w:rsidRPr="00D820EA">
              <w:rPr>
                <w:rFonts w:cs="Arial"/>
                <w:sz w:val="20"/>
                <w:szCs w:val="20"/>
              </w:rPr>
              <w:t>taxpayer</w:t>
            </w:r>
            <w:r w:rsidR="00E85DB8">
              <w:rPr>
                <w:rFonts w:cs="Arial"/>
                <w:sz w:val="20"/>
                <w:szCs w:val="20"/>
              </w:rPr>
              <w:t xml:space="preserve"> and certain tests are satisfied</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E85DB8">
            <w:pPr>
              <w:jc w:val="center"/>
              <w:rPr>
                <w:rFonts w:cs="Arial"/>
                <w:b/>
                <w:bCs/>
                <w:szCs w:val="20"/>
              </w:rPr>
            </w:pPr>
            <w:r>
              <w:rPr>
                <w:rFonts w:cs="Arial"/>
                <w:b/>
                <w:bCs/>
                <w:szCs w:val="20"/>
              </w:rPr>
              <w:t>T</w:t>
            </w:r>
            <w:r w:rsidR="00E85DB8">
              <w:rPr>
                <w:rFonts w:cs="Arial"/>
                <w:b/>
                <w:bCs/>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 xml:space="preserve">Landcare and water facility </w:t>
            </w:r>
            <w:r w:rsidR="00190815">
              <w:rPr>
                <w:rFonts w:cs="Arial"/>
                <w:b/>
                <w:sz w:val="20"/>
                <w:szCs w:val="20"/>
              </w:rPr>
              <w:t>offset</w:t>
            </w:r>
          </w:p>
          <w:p w:rsidR="009650E2" w:rsidRPr="00633A94" w:rsidRDefault="00D820EA" w:rsidP="00E03687">
            <w:pPr>
              <w:pStyle w:val="Table"/>
              <w:rPr>
                <w:rFonts w:cs="Arial"/>
                <w:b/>
                <w:sz w:val="20"/>
                <w:szCs w:val="20"/>
              </w:rPr>
            </w:pPr>
            <w:r w:rsidRPr="00D820EA">
              <w:rPr>
                <w:rFonts w:cs="Arial"/>
                <w:sz w:val="20"/>
                <w:szCs w:val="20"/>
              </w:rPr>
              <w:t>30% tax offset for one third of eligible expenditure in lieu of deduction for eligible expenditure.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E85DB8">
            <w:pPr>
              <w:jc w:val="center"/>
              <w:rPr>
                <w:rFonts w:cs="Arial"/>
                <w:b/>
                <w:bCs/>
                <w:szCs w:val="20"/>
              </w:rPr>
            </w:pPr>
            <w:r>
              <w:rPr>
                <w:rFonts w:cs="Arial"/>
                <w:b/>
                <w:bCs/>
                <w:szCs w:val="20"/>
              </w:rPr>
              <w:t>T</w:t>
            </w:r>
            <w:r w:rsidR="00E85DB8">
              <w:rPr>
                <w:rFonts w:cs="Arial"/>
                <w:b/>
                <w:bCs/>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Other non-refundable tax offsets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E85DB8">
            <w:pPr>
              <w:jc w:val="center"/>
              <w:rPr>
                <w:rFonts w:cs="Arial"/>
                <w:b/>
                <w:bCs/>
                <w:szCs w:val="20"/>
              </w:rPr>
            </w:pPr>
            <w:r>
              <w:rPr>
                <w:rFonts w:cs="Arial"/>
                <w:b/>
                <w:bCs/>
                <w:szCs w:val="20"/>
              </w:rPr>
              <w:t>T</w:t>
            </w:r>
            <w:r w:rsidR="00E85DB8">
              <w:rPr>
                <w:rFonts w:cs="Arial"/>
                <w:b/>
                <w:bCs/>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Other refundable tax offsets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Pr>
        <w:tc>
          <w:tcPr>
            <w:tcW w:w="10712" w:type="dxa"/>
            <w:gridSpan w:val="5"/>
            <w:tcBorders>
              <w:top w:val="single" w:sz="4" w:space="0" w:color="auto"/>
              <w:left w:val="single" w:sz="4" w:space="0" w:color="auto"/>
              <w:bottom w:val="single" w:sz="4" w:space="0" w:color="auto"/>
              <w:right w:val="single" w:sz="4" w:space="0" w:color="auto"/>
            </w:tcBorders>
            <w:shd w:val="clear" w:color="auto" w:fill="404040"/>
            <w:tcMar>
              <w:bottom w:w="113" w:type="dxa"/>
            </w:tcMar>
            <w:vAlign w:val="center"/>
          </w:tcPr>
          <w:p w:rsidR="00D820EA" w:rsidRDefault="009A3B7F">
            <w:pPr>
              <w:keepNext/>
              <w:ind w:left="141"/>
              <w:rPr>
                <w:rFonts w:cs="Arial"/>
                <w:b/>
                <w:color w:val="FFFFFF"/>
                <w:szCs w:val="20"/>
              </w:rPr>
            </w:pPr>
            <w:r>
              <w:rPr>
                <w:rFonts w:cs="Arial"/>
                <w:b/>
                <w:color w:val="FFFFFF"/>
                <w:szCs w:val="20"/>
              </w:rPr>
              <w:t>Medicare Levy Related Items</w:t>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Pr>
                <w:rFonts w:cs="Arial"/>
                <w:b/>
                <w:bCs/>
                <w:szCs w:val="20"/>
              </w:rPr>
              <w:t>M1</w:t>
            </w:r>
          </w:p>
          <w:p w:rsidR="00D820EA" w:rsidRPr="00D820EA" w:rsidRDefault="00D820EA" w:rsidP="00D820EA">
            <w:pPr>
              <w:jc w:val="center"/>
              <w:rPr>
                <w:rFonts w:cs="Arial"/>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Medicare levy reduction or exemption</w:t>
            </w:r>
          </w:p>
          <w:p w:rsidR="009650E2" w:rsidRPr="00633A94" w:rsidRDefault="00D820EA" w:rsidP="00E03687">
            <w:pPr>
              <w:pStyle w:val="Table"/>
              <w:rPr>
                <w:rFonts w:cs="Arial"/>
                <w:sz w:val="20"/>
                <w:szCs w:val="20"/>
              </w:rPr>
            </w:pPr>
            <w:r w:rsidRPr="00D820EA">
              <w:rPr>
                <w:rFonts w:cs="Arial"/>
                <w:sz w:val="20"/>
                <w:szCs w:val="20"/>
              </w:rPr>
              <w:t>Available for low income individuals / families and other prescribed persons.</w:t>
            </w:r>
          </w:p>
          <w:p w:rsidR="009650E2" w:rsidRPr="00633A94" w:rsidRDefault="009650E2" w:rsidP="00126A4C">
            <w:pPr>
              <w:pStyle w:val="Table"/>
              <w:rPr>
                <w:rFonts w:cs="Arial"/>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Pr>
                <w:rFonts w:cs="Arial"/>
                <w:b/>
                <w:bCs/>
                <w:szCs w:val="20"/>
              </w:rPr>
              <w:lastRenderedPageBreak/>
              <w:t>M2</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Medicare levy surcharge (MLS)</w:t>
            </w:r>
          </w:p>
          <w:p w:rsidR="009650E2" w:rsidRPr="003663B0" w:rsidRDefault="00D820EA" w:rsidP="00E03687">
            <w:pPr>
              <w:pStyle w:val="Table"/>
              <w:rPr>
                <w:rFonts w:cs="Arial"/>
                <w:color w:val="000000" w:themeColor="text1"/>
                <w:sz w:val="20"/>
                <w:szCs w:val="20"/>
              </w:rPr>
            </w:pPr>
            <w:r w:rsidRPr="00D820EA">
              <w:rPr>
                <w:rFonts w:cs="Arial"/>
                <w:sz w:val="20"/>
                <w:szCs w:val="20"/>
              </w:rPr>
              <w:t xml:space="preserve">Applicable to individuals / families on higher incomes who do not have </w:t>
            </w:r>
            <w:r w:rsidRPr="003663B0">
              <w:rPr>
                <w:rFonts w:cs="Arial"/>
                <w:color w:val="000000" w:themeColor="text1"/>
                <w:sz w:val="20"/>
                <w:szCs w:val="20"/>
              </w:rPr>
              <w:t xml:space="preserve">private patient hospital cover. Individuals and couples are liable to the surcharge when their </w:t>
            </w:r>
            <w:r w:rsidR="00126A4C" w:rsidRPr="003663B0">
              <w:rPr>
                <w:rFonts w:cs="Arial"/>
                <w:color w:val="000000" w:themeColor="text1"/>
                <w:sz w:val="20"/>
                <w:szCs w:val="20"/>
              </w:rPr>
              <w:t xml:space="preserve">“income for surcharge purposes” (ie </w:t>
            </w:r>
            <w:r w:rsidRPr="003663B0">
              <w:rPr>
                <w:rFonts w:cs="Arial"/>
                <w:color w:val="000000" w:themeColor="text1"/>
                <w:sz w:val="20"/>
                <w:szCs w:val="20"/>
              </w:rPr>
              <w:t>taxable income</w:t>
            </w:r>
            <w:r w:rsidR="00126A4C" w:rsidRPr="003663B0">
              <w:rPr>
                <w:rFonts w:cs="Arial"/>
                <w:color w:val="000000" w:themeColor="text1"/>
                <w:sz w:val="20"/>
                <w:szCs w:val="20"/>
              </w:rPr>
              <w:t>,</w:t>
            </w:r>
            <w:r w:rsidRPr="003663B0">
              <w:rPr>
                <w:rFonts w:cs="Arial"/>
                <w:color w:val="000000" w:themeColor="text1"/>
                <w:sz w:val="20"/>
                <w:szCs w:val="20"/>
              </w:rPr>
              <w:t xml:space="preserve"> reportable fringe benefits</w:t>
            </w:r>
            <w:r w:rsidR="00126A4C" w:rsidRPr="003663B0">
              <w:rPr>
                <w:rFonts w:cs="Arial"/>
                <w:color w:val="000000" w:themeColor="text1"/>
                <w:sz w:val="20"/>
                <w:szCs w:val="20"/>
              </w:rPr>
              <w:t>, reportable superannuation contributions and total net investment loss)</w:t>
            </w:r>
            <w:r w:rsidRPr="003663B0">
              <w:rPr>
                <w:rFonts w:cs="Arial"/>
                <w:color w:val="000000" w:themeColor="text1"/>
                <w:sz w:val="20"/>
                <w:szCs w:val="20"/>
              </w:rPr>
              <w:t xml:space="preserve"> exceed</w:t>
            </w:r>
            <w:r w:rsidR="00126A4C" w:rsidRPr="003663B0">
              <w:rPr>
                <w:rFonts w:cs="Arial"/>
                <w:color w:val="000000" w:themeColor="text1"/>
                <w:sz w:val="20"/>
                <w:szCs w:val="20"/>
              </w:rPr>
              <w:t>s</w:t>
            </w:r>
            <w:r w:rsidRPr="003663B0">
              <w:rPr>
                <w:rFonts w:cs="Arial"/>
                <w:color w:val="000000" w:themeColor="text1"/>
                <w:sz w:val="20"/>
                <w:szCs w:val="20"/>
              </w:rPr>
              <w:t xml:space="preserve"> $</w:t>
            </w:r>
            <w:r w:rsidR="003663B0" w:rsidRPr="003663B0">
              <w:rPr>
                <w:rFonts w:cs="Arial"/>
                <w:color w:val="000000" w:themeColor="text1"/>
                <w:sz w:val="20"/>
                <w:szCs w:val="20"/>
              </w:rPr>
              <w:t>90</w:t>
            </w:r>
            <w:r w:rsidRPr="003663B0">
              <w:rPr>
                <w:rFonts w:cs="Arial"/>
                <w:color w:val="000000" w:themeColor="text1"/>
                <w:sz w:val="20"/>
                <w:szCs w:val="20"/>
              </w:rPr>
              <w:t>,000 and $</w:t>
            </w:r>
            <w:r w:rsidR="00126A4C" w:rsidRPr="003663B0">
              <w:rPr>
                <w:rFonts w:cs="Arial"/>
                <w:color w:val="000000" w:themeColor="text1"/>
                <w:sz w:val="20"/>
                <w:szCs w:val="20"/>
              </w:rPr>
              <w:t>1</w:t>
            </w:r>
            <w:r w:rsidR="003663B0" w:rsidRPr="003663B0">
              <w:rPr>
                <w:rFonts w:cs="Arial"/>
                <w:color w:val="000000" w:themeColor="text1"/>
                <w:sz w:val="20"/>
                <w:szCs w:val="20"/>
              </w:rPr>
              <w:t>80</w:t>
            </w:r>
            <w:r w:rsidRPr="003663B0">
              <w:rPr>
                <w:rFonts w:cs="Arial"/>
                <w:color w:val="000000" w:themeColor="text1"/>
                <w:sz w:val="20"/>
                <w:szCs w:val="20"/>
              </w:rPr>
              <w:t>,000 respectively</w:t>
            </w:r>
            <w:r w:rsidR="00126A4C" w:rsidRPr="003663B0">
              <w:rPr>
                <w:rFonts w:cs="Arial"/>
                <w:color w:val="000000" w:themeColor="text1"/>
                <w:sz w:val="20"/>
                <w:szCs w:val="20"/>
              </w:rPr>
              <w:t xml:space="preserve"> (increased by $1,500 for each dependent child/student after the first)</w:t>
            </w:r>
            <w:r w:rsidRPr="003663B0">
              <w:rPr>
                <w:rFonts w:cs="Arial"/>
                <w:color w:val="000000" w:themeColor="text1"/>
                <w:sz w:val="20"/>
                <w:szCs w:val="20"/>
              </w:rPr>
              <w:t>.</w:t>
            </w:r>
            <w:r w:rsidR="00126A4C" w:rsidRPr="003663B0">
              <w:rPr>
                <w:rFonts w:cs="Arial"/>
                <w:color w:val="000000" w:themeColor="text1"/>
                <w:sz w:val="20"/>
                <w:szCs w:val="20"/>
              </w:rPr>
              <w:t xml:space="preserve"> The surcharge is 1%, 1.25% or 1.5%, depending on the amount of income for surcharge purposes.  </w:t>
            </w:r>
          </w:p>
          <w:p w:rsidR="009650E2" w:rsidRPr="00633A94" w:rsidRDefault="00D820EA" w:rsidP="00E03687">
            <w:pPr>
              <w:pStyle w:val="Table"/>
              <w:rPr>
                <w:rFonts w:cs="Arial"/>
                <w:b/>
                <w:sz w:val="16"/>
                <w:szCs w:val="16"/>
              </w:rPr>
            </w:pPr>
            <w:r w:rsidRPr="00D820EA">
              <w:rPr>
                <w:rFonts w:cs="Arial"/>
                <w:b/>
                <w:sz w:val="16"/>
                <w:szCs w:val="16"/>
              </w:rPr>
              <w:t>Note</w:t>
            </w:r>
            <w:r w:rsidRPr="00D820EA">
              <w:rPr>
                <w:rFonts w:cs="Arial"/>
                <w:sz w:val="16"/>
                <w:szCs w:val="16"/>
              </w:rPr>
              <w:t>: this item is compulsory.</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D820EA" w:rsidP="00D820EA">
            <w:pPr>
              <w:jc w:val="center"/>
              <w:rPr>
                <w:rFonts w:cs="Arial"/>
                <w:b/>
                <w:bCs/>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Private health insurance</w:t>
            </w:r>
          </w:p>
          <w:p w:rsidR="009650E2" w:rsidRPr="003663B0" w:rsidRDefault="00D820EA" w:rsidP="00E03687">
            <w:pPr>
              <w:pStyle w:val="Table"/>
              <w:rPr>
                <w:rFonts w:cs="Arial"/>
                <w:color w:val="000000" w:themeColor="text1"/>
                <w:sz w:val="20"/>
                <w:szCs w:val="20"/>
              </w:rPr>
            </w:pPr>
            <w:r w:rsidRPr="00D820EA">
              <w:rPr>
                <w:rFonts w:cs="Arial"/>
                <w:sz w:val="20"/>
                <w:szCs w:val="20"/>
              </w:rPr>
              <w:t xml:space="preserve">Obtain details of the client’s health fund and ascertain whether </w:t>
            </w:r>
            <w:r w:rsidRPr="003663B0">
              <w:rPr>
                <w:rFonts w:cs="Arial"/>
                <w:color w:val="000000" w:themeColor="text1"/>
                <w:sz w:val="20"/>
                <w:szCs w:val="20"/>
              </w:rPr>
              <w:t>any rebate has claimed via the fund or from Medicare before determining whether an offset can be claimed through the return.</w:t>
            </w:r>
          </w:p>
          <w:p w:rsidR="008560ED" w:rsidRPr="003663B0" w:rsidRDefault="00D820EA" w:rsidP="00602CD8">
            <w:pPr>
              <w:pStyle w:val="Heading3"/>
              <w:keepNext w:val="0"/>
              <w:numPr>
                <w:ilvl w:val="0"/>
                <w:numId w:val="8"/>
              </w:numPr>
              <w:shd w:val="clear" w:color="auto" w:fill="FFFFFF"/>
              <w:spacing w:before="0" w:after="0"/>
              <w:ind w:left="0"/>
              <w:rPr>
                <w:rFonts w:cs="Arial"/>
                <w:color w:val="000000" w:themeColor="text1"/>
                <w:sz w:val="16"/>
                <w:szCs w:val="16"/>
              </w:rPr>
            </w:pPr>
            <w:r w:rsidRPr="003663B0">
              <w:rPr>
                <w:rFonts w:cs="Arial"/>
                <w:b w:val="0"/>
                <w:color w:val="000000" w:themeColor="text1"/>
                <w:sz w:val="16"/>
                <w:szCs w:val="16"/>
              </w:rPr>
              <w:t>Note</w:t>
            </w:r>
            <w:r w:rsidRPr="003663B0">
              <w:rPr>
                <w:rFonts w:cs="Arial"/>
                <w:color w:val="000000" w:themeColor="text1"/>
                <w:sz w:val="16"/>
                <w:szCs w:val="16"/>
              </w:rPr>
              <w:t xml:space="preserve">: the amount of the </w:t>
            </w:r>
            <w:r w:rsidRPr="003663B0">
              <w:rPr>
                <w:rFonts w:cs="Arial"/>
                <w:bCs w:val="0"/>
                <w:color w:val="000000" w:themeColor="text1"/>
                <w:sz w:val="16"/>
                <w:szCs w:val="16"/>
              </w:rPr>
              <w:t xml:space="preserve">Private health insurance </w:t>
            </w:r>
            <w:r w:rsidR="00126A4C" w:rsidRPr="003663B0">
              <w:rPr>
                <w:rFonts w:cs="Arial"/>
                <w:bCs w:val="0"/>
                <w:color w:val="000000" w:themeColor="text1"/>
                <w:sz w:val="16"/>
                <w:szCs w:val="16"/>
              </w:rPr>
              <w:t xml:space="preserve">offset </w:t>
            </w:r>
            <w:r w:rsidRPr="003663B0">
              <w:rPr>
                <w:rFonts w:cs="Arial"/>
                <w:bCs w:val="0"/>
                <w:color w:val="000000" w:themeColor="text1"/>
                <w:sz w:val="16"/>
                <w:szCs w:val="16"/>
              </w:rPr>
              <w:t xml:space="preserve">entitlement will vary depending on which income threshold tier the individual falls into – this is based on the individual’s income </w:t>
            </w:r>
            <w:r w:rsidR="00126A4C" w:rsidRPr="003663B0">
              <w:rPr>
                <w:rFonts w:cs="Arial"/>
                <w:bCs w:val="0"/>
                <w:color w:val="000000" w:themeColor="text1"/>
                <w:sz w:val="16"/>
                <w:szCs w:val="16"/>
              </w:rPr>
              <w:t xml:space="preserve">for surcharge purposes </w:t>
            </w:r>
            <w:r w:rsidRPr="003663B0">
              <w:rPr>
                <w:rFonts w:cs="Arial"/>
                <w:bCs w:val="0"/>
                <w:color w:val="000000" w:themeColor="text1"/>
                <w:sz w:val="16"/>
                <w:szCs w:val="16"/>
              </w:rPr>
              <w:t>(either as a single or family) and their age.</w:t>
            </w:r>
            <w:r w:rsidR="008560ED" w:rsidRPr="003663B0">
              <w:rPr>
                <w:rFonts w:cs="Arial"/>
                <w:color w:val="000000" w:themeColor="text1"/>
                <w:sz w:val="16"/>
                <w:szCs w:val="16"/>
              </w:rPr>
              <w:t xml:space="preserve"> </w:t>
            </w:r>
          </w:p>
          <w:p w:rsidR="008560ED" w:rsidRPr="003663B0" w:rsidRDefault="008560ED" w:rsidP="00602CD8">
            <w:pPr>
              <w:pStyle w:val="Heading3"/>
              <w:keepNext w:val="0"/>
              <w:numPr>
                <w:ilvl w:val="0"/>
                <w:numId w:val="8"/>
              </w:numPr>
              <w:shd w:val="clear" w:color="auto" w:fill="FFFFFF"/>
              <w:spacing w:before="0" w:after="0" w:line="336" w:lineRule="atLeast"/>
              <w:ind w:left="0"/>
              <w:rPr>
                <w:rFonts w:cs="Arial"/>
                <w:color w:val="000000" w:themeColor="text1"/>
                <w:szCs w:val="20"/>
              </w:rPr>
            </w:pPr>
            <w:r w:rsidRPr="003663B0">
              <w:rPr>
                <w:rFonts w:cs="Arial"/>
                <w:color w:val="000000" w:themeColor="text1"/>
                <w:szCs w:val="20"/>
              </w:rPr>
              <w:t>Annual rebate adjustment – from 1 April 2014</w:t>
            </w:r>
          </w:p>
          <w:p w:rsidR="008560ED" w:rsidRPr="003663B0" w:rsidRDefault="008560ED" w:rsidP="008560ED">
            <w:pPr>
              <w:pStyle w:val="NormalWeb"/>
              <w:shd w:val="clear" w:color="auto" w:fill="FFFFFF"/>
              <w:rPr>
                <w:rFonts w:ascii="Arial" w:hAnsi="Arial" w:cs="Arial"/>
                <w:color w:val="000000" w:themeColor="text1"/>
                <w:sz w:val="20"/>
                <w:szCs w:val="20"/>
              </w:rPr>
            </w:pPr>
            <w:r w:rsidRPr="003663B0">
              <w:rPr>
                <w:rFonts w:ascii="Arial" w:hAnsi="Arial" w:cs="Arial"/>
                <w:color w:val="000000" w:themeColor="text1"/>
                <w:sz w:val="20"/>
                <w:szCs w:val="20"/>
              </w:rPr>
              <w:t>The government has changed the way the private health insurance (PHI) rebate is calculated. From 1 April 2014, all rebate percentages are adjusted annually by a rebate adjustment factor.The rebate adjustment factor is a percentage of the increase in the consumer price index (CPI) and the average annual premium price increase. It will be calculated by the Department of Health each year.</w:t>
            </w:r>
          </w:p>
          <w:p w:rsidR="008560ED" w:rsidRPr="003663B0" w:rsidRDefault="008560ED" w:rsidP="008560ED">
            <w:pPr>
              <w:shd w:val="clear" w:color="auto" w:fill="FFFFFF"/>
              <w:rPr>
                <w:rFonts w:cs="Arial"/>
                <w:color w:val="000000" w:themeColor="text1"/>
                <w:szCs w:val="20"/>
              </w:rPr>
            </w:pPr>
            <w:r w:rsidRPr="003663B0">
              <w:rPr>
                <w:rFonts w:cs="Arial"/>
                <w:color w:val="000000" w:themeColor="text1"/>
                <w:szCs w:val="20"/>
              </w:rPr>
              <w:t>The adjusted rebate percentages will be applied to premiums paid on or after 1 April. This means your rebate percentage for premiums paid (excluding LHC loading) before 1 April 201</w:t>
            </w:r>
            <w:r w:rsidR="003663B0" w:rsidRPr="003663B0">
              <w:rPr>
                <w:rFonts w:cs="Arial"/>
                <w:color w:val="000000" w:themeColor="text1"/>
                <w:szCs w:val="20"/>
              </w:rPr>
              <w:t>5</w:t>
            </w:r>
            <w:r w:rsidRPr="003663B0">
              <w:rPr>
                <w:rFonts w:cs="Arial"/>
                <w:color w:val="000000" w:themeColor="text1"/>
                <w:szCs w:val="20"/>
              </w:rPr>
              <w:t xml:space="preserve"> will be different to your rebate percentage on or after 1 April 201</w:t>
            </w:r>
            <w:r w:rsidR="003663B0" w:rsidRPr="003663B0">
              <w:rPr>
                <w:rFonts w:cs="Arial"/>
                <w:color w:val="000000" w:themeColor="text1"/>
                <w:szCs w:val="20"/>
              </w:rPr>
              <w:t>5</w:t>
            </w:r>
            <w:r w:rsidRPr="003663B0">
              <w:rPr>
                <w:rFonts w:cs="Arial"/>
                <w:color w:val="000000" w:themeColor="text1"/>
                <w:szCs w:val="20"/>
              </w:rPr>
              <w:t>.</w:t>
            </w:r>
          </w:p>
          <w:p w:rsidR="003663B0" w:rsidRPr="003663B0" w:rsidRDefault="003663B0" w:rsidP="008560ED">
            <w:pPr>
              <w:pStyle w:val="NormalWeb"/>
              <w:shd w:val="clear" w:color="auto" w:fill="FFFFFF"/>
              <w:rPr>
                <w:rFonts w:ascii="Arial" w:hAnsi="Arial" w:cs="Arial"/>
                <w:color w:val="000000" w:themeColor="text1"/>
                <w:sz w:val="20"/>
                <w:szCs w:val="20"/>
              </w:rPr>
            </w:pPr>
          </w:p>
          <w:p w:rsidR="008560ED" w:rsidRPr="003663B0" w:rsidRDefault="008560ED" w:rsidP="008560ED">
            <w:pPr>
              <w:pStyle w:val="NormalWeb"/>
              <w:shd w:val="clear" w:color="auto" w:fill="FFFFFF"/>
              <w:rPr>
                <w:rFonts w:ascii="Arial" w:hAnsi="Arial" w:cs="Arial"/>
                <w:color w:val="000000" w:themeColor="text1"/>
                <w:sz w:val="20"/>
                <w:szCs w:val="20"/>
              </w:rPr>
            </w:pPr>
            <w:r w:rsidRPr="003663B0">
              <w:rPr>
                <w:rFonts w:ascii="Arial" w:hAnsi="Arial" w:cs="Arial"/>
                <w:color w:val="000000" w:themeColor="text1"/>
                <w:sz w:val="20"/>
                <w:szCs w:val="20"/>
              </w:rPr>
              <w:t>The rebate percentage between 1 July and 31 March (period 1) is multiplied by the rebate adjustment factor to get the rebate percentage for the period of 1 April to 30 June (period 2). As a result, your rebate percentage for period 2 may be less than period 1</w:t>
            </w:r>
          </w:p>
          <w:p w:rsidR="009650E2" w:rsidRPr="00633A94" w:rsidRDefault="009650E2" w:rsidP="00126A4C">
            <w:pPr>
              <w:pStyle w:val="Table"/>
              <w:rPr>
                <w:rFonts w:cs="Arial"/>
                <w:b/>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Pr>
        <w:tc>
          <w:tcPr>
            <w:tcW w:w="10712" w:type="dxa"/>
            <w:gridSpan w:val="5"/>
            <w:tcBorders>
              <w:top w:val="single" w:sz="4" w:space="0" w:color="auto"/>
              <w:left w:val="single" w:sz="4" w:space="0" w:color="auto"/>
              <w:bottom w:val="single" w:sz="4" w:space="0" w:color="auto"/>
              <w:right w:val="single" w:sz="4" w:space="0" w:color="auto"/>
            </w:tcBorders>
            <w:shd w:val="clear" w:color="auto" w:fill="404040"/>
            <w:tcMar>
              <w:bottom w:w="113" w:type="dxa"/>
            </w:tcMar>
            <w:vAlign w:val="center"/>
          </w:tcPr>
          <w:p w:rsidR="00D820EA" w:rsidRDefault="009A3B7F">
            <w:pPr>
              <w:keepNext/>
              <w:ind w:left="141"/>
              <w:rPr>
                <w:rFonts w:cs="Arial"/>
                <w:b/>
                <w:color w:val="FFFFFF"/>
                <w:szCs w:val="20"/>
              </w:rPr>
            </w:pPr>
            <w:r>
              <w:rPr>
                <w:rFonts w:cs="Arial"/>
                <w:b/>
                <w:color w:val="FFFFFF"/>
                <w:szCs w:val="20"/>
              </w:rPr>
              <w:t>Adjustments</w:t>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Pr>
                <w:rFonts w:cs="Arial"/>
                <w:b/>
                <w:bCs/>
                <w:szCs w:val="20"/>
              </w:rPr>
              <w:t>A1</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Under 18</w:t>
            </w:r>
          </w:p>
          <w:p w:rsidR="009650E2" w:rsidRPr="00633A94" w:rsidRDefault="00D820EA" w:rsidP="00E03687">
            <w:pPr>
              <w:pStyle w:val="Table"/>
              <w:rPr>
                <w:rFonts w:cs="Arial"/>
                <w:b/>
                <w:sz w:val="20"/>
                <w:szCs w:val="20"/>
              </w:rPr>
            </w:pPr>
            <w:r w:rsidRPr="00D820EA">
              <w:rPr>
                <w:rFonts w:cs="Arial"/>
                <w:sz w:val="20"/>
                <w:szCs w:val="20"/>
              </w:rPr>
              <w:t>Special tax on unearned income of minors.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Pr>
                <w:rFonts w:cs="Arial"/>
                <w:b/>
                <w:bCs/>
                <w:szCs w:val="20"/>
              </w:rPr>
              <w:t>A2</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Part year tax free threshold</w:t>
            </w:r>
          </w:p>
          <w:p w:rsidR="009650E2" w:rsidRPr="00633A94" w:rsidRDefault="00D820EA" w:rsidP="00E03687">
            <w:pPr>
              <w:pStyle w:val="Table"/>
              <w:rPr>
                <w:rFonts w:cs="Arial"/>
                <w:b/>
                <w:sz w:val="20"/>
                <w:szCs w:val="20"/>
              </w:rPr>
            </w:pPr>
            <w:r w:rsidRPr="00D820EA">
              <w:rPr>
                <w:rFonts w:cs="Arial"/>
                <w:sz w:val="20"/>
                <w:szCs w:val="20"/>
              </w:rPr>
              <w:t>Completed for students entering the workforce and taxpayers who were Australian residents for part of the income year.</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Pr>
                <w:rFonts w:cs="Arial"/>
                <w:b/>
                <w:bCs/>
                <w:szCs w:val="20"/>
              </w:rPr>
              <w:lastRenderedPageBreak/>
              <w:t>A3</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Government super contributions</w:t>
            </w:r>
          </w:p>
          <w:p w:rsidR="009650E2" w:rsidRPr="00633A94" w:rsidRDefault="00D820EA" w:rsidP="00E03687">
            <w:pPr>
              <w:pStyle w:val="Table"/>
              <w:rPr>
                <w:rFonts w:cs="Arial"/>
                <w:sz w:val="20"/>
                <w:szCs w:val="20"/>
              </w:rPr>
            </w:pPr>
            <w:r w:rsidRPr="00D820EA">
              <w:rPr>
                <w:rFonts w:cs="Arial"/>
                <w:sz w:val="20"/>
                <w:szCs w:val="20"/>
              </w:rPr>
              <w:t>The labels are not compulsory disclosures.</w:t>
            </w:r>
          </w:p>
          <w:p w:rsidR="009650E2" w:rsidRPr="00633A94" w:rsidRDefault="00D820EA" w:rsidP="00E03687">
            <w:pPr>
              <w:pStyle w:val="Table"/>
              <w:rPr>
                <w:rFonts w:cs="Arial"/>
                <w:b/>
                <w:sz w:val="16"/>
                <w:szCs w:val="16"/>
              </w:rPr>
            </w:pPr>
            <w:r w:rsidRPr="00D820EA">
              <w:rPr>
                <w:rFonts w:cs="Arial"/>
                <w:b/>
                <w:sz w:val="16"/>
                <w:szCs w:val="16"/>
              </w:rPr>
              <w:t>Note</w:t>
            </w:r>
            <w:r w:rsidRPr="00D820EA">
              <w:rPr>
                <w:rFonts w:cs="Arial"/>
                <w:sz w:val="16"/>
                <w:szCs w:val="16"/>
              </w:rPr>
              <w:t>: non completion may lead to a reduced co-contribution payment.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Pr>
                <w:rFonts w:cs="Arial"/>
                <w:b/>
                <w:bCs/>
                <w:szCs w:val="20"/>
              </w:rPr>
              <w:t>A4</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Amount on which family tax distribution tax has been paid</w:t>
            </w:r>
          </w:p>
          <w:p w:rsidR="009650E2" w:rsidRPr="00633A94" w:rsidRDefault="00D820EA" w:rsidP="00E03687">
            <w:pPr>
              <w:pStyle w:val="Table"/>
              <w:rPr>
                <w:rFonts w:cs="Arial"/>
                <w:b/>
                <w:sz w:val="20"/>
                <w:szCs w:val="20"/>
              </w:rPr>
            </w:pPr>
            <w:r w:rsidRPr="00D820EA">
              <w:rPr>
                <w:rFonts w:cs="Arial"/>
                <w:sz w:val="20"/>
                <w:szCs w:val="20"/>
              </w:rPr>
              <w:t>Relevant where a trust, company or partnership within a ‘family group’ has distributed to an entity outside the family group.</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9650E2" w:rsidP="00D820EA">
            <w:pPr>
              <w:ind w:left="-631"/>
              <w:jc w:val="center"/>
              <w:rPr>
                <w:rFonts w:cs="Arial"/>
                <w:b/>
                <w:bCs/>
                <w:color w:val="FFFFFF"/>
                <w:sz w:val="16"/>
                <w:szCs w:val="20"/>
              </w:rPr>
            </w:pPr>
            <w:r>
              <w:t xml:space="preserve">           </w:t>
            </w:r>
            <w:r w:rsidR="005D7602" w:rsidRPr="000D7CC8">
              <w:fldChar w:fldCharType="begin">
                <w:ffData>
                  <w:name w:val="Check1"/>
                  <w:enabled/>
                  <w:calcOnExit w:val="0"/>
                  <w:checkBox>
                    <w:sizeAuto/>
                    <w:default w:val="0"/>
                  </w:checkBox>
                </w:ffData>
              </w:fldChar>
            </w:r>
            <w:r w:rsidRPr="000D7CC8">
              <w:instrText xml:space="preserve"> FORMCHECKBOX </w:instrText>
            </w:r>
            <w:r w:rsidR="00F85883">
              <w:fldChar w:fldCharType="separate"/>
            </w:r>
            <w:r w:rsidR="005D7602"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Pr>
                <w:rFonts w:cs="Arial"/>
                <w:b/>
                <w:bCs/>
                <w:szCs w:val="20"/>
              </w:rPr>
              <w:t>C1</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Credit for interest on tax paid</w:t>
            </w:r>
          </w:p>
          <w:p w:rsidR="009650E2" w:rsidRPr="00633A94" w:rsidRDefault="00D820EA" w:rsidP="00E03687">
            <w:pPr>
              <w:pStyle w:val="Table"/>
              <w:rPr>
                <w:rFonts w:cs="Arial"/>
                <w:b/>
                <w:sz w:val="20"/>
                <w:szCs w:val="20"/>
              </w:rPr>
            </w:pPr>
            <w:r w:rsidRPr="00D820EA">
              <w:rPr>
                <w:rFonts w:cs="Arial"/>
                <w:sz w:val="20"/>
                <w:szCs w:val="20"/>
              </w:rPr>
              <w:t>Credit for interest on early payments – amount of interest.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Pr="00D820EA" w:rsidRDefault="005D7602" w:rsidP="00D820EA">
            <w:pPr>
              <w:jc w:val="center"/>
              <w:rPr>
                <w:rFonts w:cs="Arial"/>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Pr>
        <w:tc>
          <w:tcPr>
            <w:tcW w:w="10712" w:type="dxa"/>
            <w:gridSpan w:val="5"/>
            <w:tcBorders>
              <w:top w:val="single" w:sz="4" w:space="0" w:color="auto"/>
              <w:left w:val="single" w:sz="4" w:space="0" w:color="auto"/>
              <w:bottom w:val="single" w:sz="4" w:space="0" w:color="auto"/>
              <w:right w:val="single" w:sz="4" w:space="0" w:color="auto"/>
            </w:tcBorders>
            <w:shd w:val="clear" w:color="auto" w:fill="404040"/>
            <w:tcMar>
              <w:bottom w:w="113" w:type="dxa"/>
            </w:tcMar>
            <w:vAlign w:val="center"/>
          </w:tcPr>
          <w:p w:rsidR="00D820EA" w:rsidRDefault="009A3B7F">
            <w:pPr>
              <w:keepNext/>
              <w:ind w:left="141"/>
              <w:rPr>
                <w:rFonts w:cs="Arial"/>
                <w:b/>
                <w:color w:val="FFFFFF"/>
                <w:szCs w:val="20"/>
              </w:rPr>
            </w:pPr>
            <w:r>
              <w:rPr>
                <w:rFonts w:cs="Arial"/>
                <w:b/>
                <w:color w:val="FFFFFF"/>
                <w:szCs w:val="20"/>
              </w:rPr>
              <w:t>Income Tests</w:t>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Pr>
                <w:rFonts w:cs="Arial"/>
                <w:b/>
                <w:bCs/>
                <w:szCs w:val="20"/>
              </w:rPr>
              <w:t>IT1</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Total reportable fringe benefits amount</w:t>
            </w:r>
          </w:p>
          <w:p w:rsidR="00D820EA" w:rsidRPr="00D820EA" w:rsidRDefault="00D820EA" w:rsidP="00F31C38">
            <w:pPr>
              <w:pStyle w:val="Table"/>
              <w:tabs>
                <w:tab w:val="left" w:pos="954"/>
              </w:tabs>
              <w:rPr>
                <w:rFonts w:cs="Arial"/>
                <w:b/>
                <w:sz w:val="20"/>
                <w:szCs w:val="20"/>
              </w:rPr>
            </w:pPr>
            <w:r w:rsidRPr="00F31C38">
              <w:rPr>
                <w:rFonts w:cs="Arial"/>
                <w:color w:val="000000" w:themeColor="text1"/>
                <w:sz w:val="20"/>
                <w:szCs w:val="20"/>
              </w:rPr>
              <w:t>Disclose if the reportable fringe benefits amount that you have received is $3,7</w:t>
            </w:r>
            <w:r w:rsidR="00F31C38" w:rsidRPr="00F31C38">
              <w:rPr>
                <w:rFonts w:cs="Arial"/>
                <w:color w:val="000000" w:themeColor="text1"/>
                <w:sz w:val="20"/>
                <w:szCs w:val="20"/>
              </w:rPr>
              <w:t>73</w:t>
            </w:r>
            <w:r w:rsidRPr="00F31C38">
              <w:rPr>
                <w:rFonts w:cs="Arial"/>
                <w:color w:val="000000" w:themeColor="text1"/>
                <w:sz w:val="20"/>
                <w:szCs w:val="20"/>
              </w:rPr>
              <w:t xml:space="preserve"> (grossed up value) or more.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Pr>
                <w:rFonts w:cs="Arial"/>
                <w:b/>
                <w:bCs/>
                <w:szCs w:val="20"/>
              </w:rPr>
              <w:t>IT2</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Reportable employer superannuation contributions</w:t>
            </w:r>
          </w:p>
          <w:p w:rsidR="009650E2" w:rsidRPr="00633A94" w:rsidRDefault="00D820EA" w:rsidP="00E03687">
            <w:pPr>
              <w:pStyle w:val="Table"/>
              <w:rPr>
                <w:rFonts w:cs="Arial"/>
                <w:b/>
                <w:sz w:val="20"/>
                <w:szCs w:val="20"/>
              </w:rPr>
            </w:pPr>
            <w:r w:rsidRPr="00D820EA">
              <w:rPr>
                <w:rFonts w:cs="Arial"/>
                <w:sz w:val="20"/>
                <w:szCs w:val="20"/>
              </w:rPr>
              <w:t>Disclose if your PAYG payment summaries show an amount of reportable employer superannuation contributions.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ind w:left="317" w:hanging="317"/>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Pr>
                <w:rFonts w:cs="Arial"/>
                <w:b/>
                <w:bCs/>
                <w:szCs w:val="20"/>
              </w:rPr>
              <w:t>IT3</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Tax-free government pensions</w:t>
            </w:r>
          </w:p>
          <w:p w:rsidR="009650E2" w:rsidRPr="00633A94" w:rsidRDefault="00D820EA" w:rsidP="00E03687">
            <w:pPr>
              <w:pStyle w:val="Table"/>
              <w:rPr>
                <w:rFonts w:cs="Arial"/>
                <w:sz w:val="20"/>
                <w:szCs w:val="20"/>
              </w:rPr>
            </w:pPr>
            <w:r w:rsidRPr="00D820EA">
              <w:rPr>
                <w:rFonts w:cs="Arial"/>
                <w:sz w:val="20"/>
                <w:szCs w:val="20"/>
              </w:rPr>
              <w:t>Disclose if you have received pensions which you do not need to pay tax on.</w:t>
            </w:r>
          </w:p>
          <w:p w:rsidR="009650E2" w:rsidRPr="00633A94" w:rsidRDefault="00D820EA" w:rsidP="00E03687">
            <w:pPr>
              <w:pStyle w:val="Table"/>
              <w:rPr>
                <w:rFonts w:cs="Arial"/>
                <w:b/>
                <w:sz w:val="16"/>
                <w:szCs w:val="16"/>
              </w:rPr>
            </w:pPr>
            <w:r w:rsidRPr="00D820EA">
              <w:rPr>
                <w:rFonts w:cs="Arial"/>
                <w:b/>
                <w:sz w:val="16"/>
                <w:szCs w:val="16"/>
              </w:rPr>
              <w:t>Note</w:t>
            </w:r>
            <w:r w:rsidRPr="00D820EA">
              <w:rPr>
                <w:rFonts w:cs="Arial"/>
                <w:sz w:val="16"/>
                <w:szCs w:val="16"/>
              </w:rPr>
              <w:t>: they are taken into account when working out your adjusted taxable income for eligibility to certain tax offsets.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Pr>
                <w:rFonts w:cs="Arial"/>
                <w:b/>
                <w:bCs/>
                <w:szCs w:val="20"/>
              </w:rPr>
              <w:t>IT4</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Target foreign income</w:t>
            </w:r>
          </w:p>
          <w:p w:rsidR="009650E2" w:rsidRPr="00633A94" w:rsidRDefault="00D820EA" w:rsidP="00E03687">
            <w:pPr>
              <w:pStyle w:val="Table"/>
              <w:rPr>
                <w:rFonts w:cs="Arial"/>
                <w:sz w:val="20"/>
                <w:szCs w:val="20"/>
              </w:rPr>
            </w:pPr>
            <w:r w:rsidRPr="00D820EA">
              <w:rPr>
                <w:rFonts w:cs="Arial"/>
                <w:sz w:val="20"/>
                <w:szCs w:val="20"/>
              </w:rPr>
              <w:t>Disclose if you have received income from sources outside Australia that is neither part of your taxable income nor a fringe benefit.</w:t>
            </w:r>
          </w:p>
          <w:p w:rsidR="009650E2" w:rsidRPr="00633A94" w:rsidRDefault="00D820EA" w:rsidP="00E03687">
            <w:pPr>
              <w:pStyle w:val="Table"/>
              <w:rPr>
                <w:rFonts w:cs="Arial"/>
                <w:b/>
                <w:sz w:val="16"/>
                <w:szCs w:val="16"/>
              </w:rPr>
            </w:pPr>
            <w:r w:rsidRPr="00D820EA">
              <w:rPr>
                <w:rFonts w:cs="Arial"/>
                <w:b/>
                <w:sz w:val="16"/>
                <w:szCs w:val="16"/>
              </w:rPr>
              <w:t>Note</w:t>
            </w:r>
            <w:r w:rsidRPr="00D820EA">
              <w:rPr>
                <w:rFonts w:cs="Arial"/>
                <w:sz w:val="16"/>
                <w:szCs w:val="16"/>
              </w:rPr>
              <w:t>: show all foreign income in Australian dollars.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Pr>
                <w:rFonts w:cs="Arial"/>
                <w:b/>
                <w:bCs/>
                <w:szCs w:val="20"/>
              </w:rPr>
              <w:t>IT5</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Net financial investment loss</w:t>
            </w:r>
          </w:p>
          <w:p w:rsidR="009650E2" w:rsidRPr="00633A94" w:rsidRDefault="00D820EA" w:rsidP="00E03687">
            <w:pPr>
              <w:pStyle w:val="Table"/>
              <w:rPr>
                <w:rFonts w:cs="Arial"/>
                <w:sz w:val="20"/>
                <w:szCs w:val="20"/>
              </w:rPr>
            </w:pPr>
            <w:r w:rsidRPr="00D820EA">
              <w:rPr>
                <w:rFonts w:cs="Arial"/>
                <w:sz w:val="20"/>
                <w:szCs w:val="20"/>
              </w:rPr>
              <w:t>Disclose the loss amount by which your financial investment deductions exceeded your financial investment income.</w:t>
            </w:r>
          </w:p>
          <w:p w:rsidR="009650E2" w:rsidRPr="00633A94" w:rsidRDefault="00D820EA" w:rsidP="00E03687">
            <w:pPr>
              <w:pStyle w:val="Table"/>
              <w:rPr>
                <w:rFonts w:cs="Arial"/>
                <w:sz w:val="16"/>
                <w:szCs w:val="16"/>
              </w:rPr>
            </w:pPr>
            <w:r w:rsidRPr="00D820EA">
              <w:rPr>
                <w:rFonts w:cs="Arial"/>
                <w:b/>
                <w:sz w:val="16"/>
                <w:szCs w:val="16"/>
              </w:rPr>
              <w:t>Note</w:t>
            </w:r>
            <w:r w:rsidRPr="00D820EA">
              <w:rPr>
                <w:rFonts w:cs="Arial"/>
                <w:sz w:val="16"/>
                <w:szCs w:val="16"/>
              </w:rPr>
              <w:t>: this item is not about capital losses.</w:t>
            </w:r>
          </w:p>
          <w:p w:rsidR="009650E2" w:rsidRPr="008F3A04" w:rsidRDefault="00D820EA" w:rsidP="00E03687">
            <w:pPr>
              <w:pStyle w:val="Table"/>
              <w:rPr>
                <w:rFonts w:cs="Arial"/>
                <w:b/>
                <w:sz w:val="20"/>
                <w:szCs w:val="20"/>
              </w:rPr>
            </w:pPr>
            <w:r w:rsidRPr="00D820EA">
              <w:rPr>
                <w:rFonts w:cs="Arial"/>
                <w:sz w:val="20"/>
                <w:szCs w:val="20"/>
              </w:rPr>
              <w:t>Obtain account statements or other documentation from your financial institution or other sources that show your financial investment income or loss. If you are a partner in a partnership you will need a statement or advice showing the amount of net financial investment income or loss.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Pr>
                <w:rFonts w:cs="Arial"/>
                <w:b/>
                <w:bCs/>
                <w:szCs w:val="20"/>
              </w:rPr>
              <w:t>IT6</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Net rental property loss</w:t>
            </w:r>
          </w:p>
          <w:p w:rsidR="009650E2" w:rsidRPr="00633A94" w:rsidRDefault="00D820EA" w:rsidP="00E03687">
            <w:pPr>
              <w:pStyle w:val="Table"/>
              <w:rPr>
                <w:rFonts w:cs="Arial"/>
                <w:sz w:val="20"/>
                <w:szCs w:val="20"/>
              </w:rPr>
            </w:pPr>
            <w:r w:rsidRPr="00D820EA">
              <w:rPr>
                <w:rFonts w:cs="Arial"/>
                <w:sz w:val="20"/>
                <w:szCs w:val="20"/>
              </w:rPr>
              <w:t>Disclose the rental property loss by which your rental deductions exceeded your rental income.</w:t>
            </w:r>
          </w:p>
          <w:p w:rsidR="009650E2" w:rsidRPr="00633A94" w:rsidRDefault="00D820EA" w:rsidP="00E03687">
            <w:pPr>
              <w:pStyle w:val="Table"/>
              <w:rPr>
                <w:rFonts w:cs="Arial"/>
                <w:b/>
                <w:sz w:val="16"/>
                <w:szCs w:val="16"/>
              </w:rPr>
            </w:pPr>
            <w:r w:rsidRPr="00D820EA">
              <w:rPr>
                <w:rFonts w:cs="Arial"/>
                <w:b/>
                <w:sz w:val="16"/>
                <w:szCs w:val="16"/>
              </w:rPr>
              <w:t>Note</w:t>
            </w:r>
            <w:r w:rsidRPr="00D820EA">
              <w:rPr>
                <w:rFonts w:cs="Arial"/>
                <w:sz w:val="16"/>
                <w:szCs w:val="16"/>
              </w:rPr>
              <w:t>: you are still able to claim allowable tax deductions for expenditure on your rental properties.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Pr>
                <w:rFonts w:cs="Arial"/>
                <w:b/>
                <w:bCs/>
                <w:szCs w:val="20"/>
              </w:rPr>
              <w:lastRenderedPageBreak/>
              <w:t>IT7</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Child support you paid</w:t>
            </w:r>
          </w:p>
          <w:p w:rsidR="009650E2" w:rsidRPr="00633A94" w:rsidRDefault="00D820EA" w:rsidP="00F86D41">
            <w:pPr>
              <w:pStyle w:val="Table"/>
              <w:rPr>
                <w:rFonts w:cs="Arial"/>
                <w:b/>
                <w:sz w:val="20"/>
                <w:szCs w:val="20"/>
              </w:rPr>
            </w:pPr>
            <w:r w:rsidRPr="00D820EA">
              <w:rPr>
                <w:rFonts w:cs="Arial"/>
                <w:sz w:val="20"/>
                <w:szCs w:val="20"/>
              </w:rPr>
              <w:t xml:space="preserve">Obtain records to work out the total amount of child support that you paid during the </w:t>
            </w:r>
            <w:r w:rsidR="0081174E">
              <w:rPr>
                <w:rFonts w:cs="Arial"/>
                <w:sz w:val="20"/>
                <w:szCs w:val="20"/>
              </w:rPr>
              <w:t>201</w:t>
            </w:r>
            <w:r w:rsidR="00F86D41">
              <w:rPr>
                <w:rFonts w:cs="Arial"/>
                <w:sz w:val="20"/>
                <w:szCs w:val="20"/>
              </w:rPr>
              <w:t>5</w:t>
            </w:r>
            <w:r w:rsidR="0081174E" w:rsidRPr="00D820EA">
              <w:rPr>
                <w:rFonts w:cs="Arial"/>
                <w:sz w:val="20"/>
                <w:szCs w:val="20"/>
              </w:rPr>
              <w:t xml:space="preserve"> </w:t>
            </w:r>
            <w:r w:rsidRPr="00D820EA">
              <w:rPr>
                <w:rFonts w:cs="Arial"/>
                <w:sz w:val="20"/>
                <w:szCs w:val="20"/>
              </w:rPr>
              <w:t>income year.</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Pr>
                <w:rFonts w:cs="Arial"/>
                <w:b/>
                <w:bCs/>
                <w:szCs w:val="20"/>
              </w:rPr>
              <w:t>IT8</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D820EA" w:rsidRPr="00D820EA" w:rsidRDefault="00D820EA">
            <w:pPr>
              <w:pStyle w:val="Table"/>
              <w:rPr>
                <w:rFonts w:cs="Arial"/>
                <w:b/>
                <w:sz w:val="20"/>
                <w:szCs w:val="20"/>
              </w:rPr>
            </w:pPr>
            <w:r w:rsidRPr="00D820EA">
              <w:rPr>
                <w:rFonts w:cs="Arial"/>
                <w:b/>
                <w:sz w:val="20"/>
                <w:szCs w:val="20"/>
              </w:rPr>
              <w:t xml:space="preserve">Number of </w:t>
            </w:r>
            <w:r w:rsidR="009A3B7F">
              <w:rPr>
                <w:rFonts w:cs="Arial"/>
                <w:b/>
                <w:sz w:val="20"/>
                <w:szCs w:val="20"/>
              </w:rPr>
              <w:t>dependent</w:t>
            </w:r>
            <w:r w:rsidRPr="00D820EA">
              <w:rPr>
                <w:rFonts w:cs="Arial"/>
                <w:b/>
                <w:sz w:val="20"/>
                <w:szCs w:val="20"/>
              </w:rPr>
              <w:t xml:space="preserve"> children</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Height w:val="441"/>
        </w:trPr>
        <w:tc>
          <w:tcPr>
            <w:tcW w:w="1498" w:type="dxa"/>
            <w:tcBorders>
              <w:top w:val="single" w:sz="4" w:space="0" w:color="auto"/>
              <w:left w:val="single" w:sz="4" w:space="0" w:color="auto"/>
              <w:bottom w:val="single" w:sz="4" w:space="0" w:color="auto"/>
              <w:right w:val="single" w:sz="4" w:space="0" w:color="auto"/>
            </w:tcBorders>
            <w:shd w:val="clear" w:color="auto" w:fill="FFFFFF"/>
            <w:tcMar>
              <w:bottom w:w="113" w:type="dxa"/>
            </w:tcMar>
          </w:tcPr>
          <w:p w:rsidR="00D820EA" w:rsidRDefault="009A3B7F" w:rsidP="00D820EA">
            <w:pPr>
              <w:jc w:val="center"/>
              <w:rPr>
                <w:rFonts w:cs="Arial"/>
                <w:b/>
                <w:bCs/>
                <w:szCs w:val="20"/>
              </w:rPr>
            </w:pPr>
            <w:r>
              <w:rPr>
                <w:rFonts w:cs="Arial"/>
                <w:b/>
                <w:bCs/>
                <w:szCs w:val="20"/>
              </w:rPr>
              <w:t>Other Information</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9650E2" w:rsidRPr="00633A94" w:rsidRDefault="00D820EA" w:rsidP="00E03687">
            <w:pPr>
              <w:pStyle w:val="Table"/>
              <w:rPr>
                <w:rFonts w:cs="Arial"/>
                <w:b/>
                <w:sz w:val="20"/>
                <w:szCs w:val="20"/>
              </w:rPr>
            </w:pPr>
            <w:r w:rsidRPr="00D820EA">
              <w:rPr>
                <w:rFonts w:cs="Arial"/>
                <w:b/>
                <w:sz w:val="20"/>
                <w:szCs w:val="20"/>
              </w:rPr>
              <w:t>Spouse Details – married or de facto</w:t>
            </w:r>
          </w:p>
          <w:p w:rsidR="009650E2" w:rsidRPr="00633A94" w:rsidRDefault="00D820EA" w:rsidP="00E03687">
            <w:pPr>
              <w:pStyle w:val="Table"/>
              <w:rPr>
                <w:rFonts w:cs="Arial"/>
                <w:sz w:val="20"/>
                <w:szCs w:val="20"/>
              </w:rPr>
            </w:pPr>
            <w:r w:rsidRPr="00D820EA">
              <w:rPr>
                <w:rFonts w:cs="Arial"/>
                <w:sz w:val="20"/>
                <w:szCs w:val="20"/>
              </w:rPr>
              <w:t xml:space="preserve">Disclose all the </w:t>
            </w:r>
            <w:r w:rsidR="0081174E">
              <w:rPr>
                <w:rFonts w:cs="Arial"/>
                <w:sz w:val="20"/>
                <w:szCs w:val="20"/>
              </w:rPr>
              <w:t>201</w:t>
            </w:r>
            <w:r w:rsidR="00F86D41">
              <w:rPr>
                <w:rFonts w:cs="Arial"/>
                <w:sz w:val="20"/>
                <w:szCs w:val="20"/>
              </w:rPr>
              <w:t>5</w:t>
            </w:r>
            <w:r w:rsidR="0081174E" w:rsidRPr="00D820EA">
              <w:rPr>
                <w:rFonts w:cs="Arial"/>
                <w:sz w:val="20"/>
                <w:szCs w:val="20"/>
              </w:rPr>
              <w:t xml:space="preserve"> </w:t>
            </w:r>
            <w:r w:rsidRPr="00D820EA">
              <w:rPr>
                <w:rFonts w:cs="Arial"/>
                <w:sz w:val="20"/>
                <w:szCs w:val="20"/>
              </w:rPr>
              <w:t>income year information requested regarding your spouse</w:t>
            </w:r>
            <w:r w:rsidR="0081174E">
              <w:rPr>
                <w:rFonts w:cs="Arial"/>
                <w:sz w:val="20"/>
                <w:szCs w:val="20"/>
              </w:rPr>
              <w:t xml:space="preserve"> (de facto or married)</w:t>
            </w:r>
            <w:r w:rsidRPr="00D820EA">
              <w:rPr>
                <w:rFonts w:cs="Arial"/>
                <w:sz w:val="20"/>
                <w:szCs w:val="20"/>
              </w:rPr>
              <w:t xml:space="preserve">. </w:t>
            </w:r>
          </w:p>
          <w:p w:rsidR="009650E2" w:rsidRPr="00633A94" w:rsidRDefault="00D820EA" w:rsidP="00F86D41">
            <w:pPr>
              <w:pStyle w:val="Table"/>
              <w:rPr>
                <w:rFonts w:cs="Arial"/>
                <w:b/>
                <w:sz w:val="16"/>
                <w:szCs w:val="16"/>
              </w:rPr>
            </w:pPr>
            <w:r w:rsidRPr="00D820EA">
              <w:rPr>
                <w:rFonts w:cs="Arial"/>
                <w:b/>
                <w:sz w:val="16"/>
                <w:szCs w:val="16"/>
              </w:rPr>
              <w:t>Tip</w:t>
            </w:r>
            <w:r w:rsidRPr="00D820EA">
              <w:rPr>
                <w:rFonts w:cs="Arial"/>
                <w:sz w:val="16"/>
                <w:szCs w:val="16"/>
              </w:rPr>
              <w:t xml:space="preserve">: As there is certain information requested which relates to your spouse’s </w:t>
            </w:r>
            <w:r w:rsidR="0081174E">
              <w:rPr>
                <w:rFonts w:cs="Arial"/>
                <w:sz w:val="16"/>
                <w:szCs w:val="16"/>
              </w:rPr>
              <w:t>201</w:t>
            </w:r>
            <w:r w:rsidR="00F86D41">
              <w:rPr>
                <w:rFonts w:cs="Arial"/>
                <w:sz w:val="16"/>
                <w:szCs w:val="16"/>
              </w:rPr>
              <w:t>5</w:t>
            </w:r>
            <w:r w:rsidR="0081174E" w:rsidRPr="00D820EA">
              <w:rPr>
                <w:rFonts w:cs="Arial"/>
                <w:sz w:val="16"/>
                <w:szCs w:val="16"/>
              </w:rPr>
              <w:t xml:space="preserve"> </w:t>
            </w:r>
            <w:r w:rsidRPr="00D820EA">
              <w:rPr>
                <w:rFonts w:cs="Arial"/>
                <w:sz w:val="16"/>
                <w:szCs w:val="16"/>
              </w:rPr>
              <w:t>income tax return, you should prepare and finalise both returns in conjunction with each other in order to disclose accurate information.</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color w:val="FFFFFF"/>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20EA" w:rsidRDefault="005D7602" w:rsidP="00D820EA">
            <w:pPr>
              <w:jc w:val="center"/>
              <w:rPr>
                <w:rFonts w:cs="Arial"/>
                <w:b/>
                <w:bCs/>
                <w:color w:val="FFFFFF"/>
                <w:sz w:val="16"/>
                <w:szCs w:val="20"/>
              </w:rPr>
            </w:pPr>
            <w:r w:rsidRPr="000D7CC8">
              <w:fldChar w:fldCharType="begin">
                <w:ffData>
                  <w:name w:val="Check1"/>
                  <w:enabled/>
                  <w:calcOnExit w:val="0"/>
                  <w:checkBox>
                    <w:sizeAuto/>
                    <w:default w:val="0"/>
                  </w:checkBox>
                </w:ffData>
              </w:fldChar>
            </w:r>
            <w:r w:rsidR="009650E2" w:rsidRPr="000D7CC8">
              <w:instrText xml:space="preserve"> FORMCHECKBOX </w:instrText>
            </w:r>
            <w:r w:rsidR="00F85883">
              <w:fldChar w:fldCharType="separate"/>
            </w:r>
            <w:r w:rsidRPr="000D7CC8">
              <w:fldChar w:fldCharType="end"/>
            </w:r>
          </w:p>
        </w:tc>
      </w:tr>
      <w:tr w:rsidR="009650E2" w:rsidRPr="00633A94" w:rsidTr="00B257C4">
        <w:trPr>
          <w:cantSplit/>
        </w:trPr>
        <w:tc>
          <w:tcPr>
            <w:tcW w:w="10712" w:type="dxa"/>
            <w:gridSpan w:val="5"/>
            <w:tcBorders>
              <w:top w:val="single" w:sz="4" w:space="0" w:color="auto"/>
              <w:left w:val="single" w:sz="4" w:space="0" w:color="auto"/>
              <w:bottom w:val="single" w:sz="4" w:space="0" w:color="auto"/>
              <w:right w:val="single" w:sz="4" w:space="0" w:color="auto"/>
            </w:tcBorders>
            <w:shd w:val="clear" w:color="auto" w:fill="auto"/>
            <w:tcMar>
              <w:bottom w:w="113" w:type="dxa"/>
            </w:tcMar>
            <w:vAlign w:val="center"/>
          </w:tcPr>
          <w:p w:rsidR="009650E2" w:rsidRPr="00633A94" w:rsidRDefault="00D820EA" w:rsidP="00E03687">
            <w:pPr>
              <w:keepNext/>
              <w:ind w:left="141"/>
              <w:rPr>
                <w:rFonts w:cs="Arial"/>
                <w:b/>
                <w:color w:val="FFFFFF"/>
                <w:sz w:val="16"/>
                <w:szCs w:val="16"/>
              </w:rPr>
            </w:pPr>
            <w:r w:rsidRPr="00D820EA">
              <w:rPr>
                <w:rFonts w:cs="Arial"/>
                <w:b/>
                <w:sz w:val="16"/>
                <w:szCs w:val="16"/>
              </w:rPr>
              <w:t>Note</w:t>
            </w:r>
            <w:r w:rsidRPr="00D820EA">
              <w:rPr>
                <w:rFonts w:cs="Arial"/>
                <w:sz w:val="16"/>
                <w:szCs w:val="16"/>
              </w:rPr>
              <w:t>: have you considered the ATO portal to check whether pre-filled information provided by the ATO in respect of payments and other details have been included in the preparation of the individual tax return?</w:t>
            </w:r>
          </w:p>
        </w:tc>
      </w:tr>
    </w:tbl>
    <w:p w:rsidR="00D820EA" w:rsidRDefault="00D820EA" w:rsidP="00741E2A">
      <w:pPr>
        <w:tabs>
          <w:tab w:val="left" w:pos="426"/>
          <w:tab w:val="left" w:pos="6096"/>
        </w:tabs>
        <w:rPr>
          <w:rFonts w:cs="Arial"/>
          <w:szCs w:val="20"/>
        </w:rPr>
      </w:pPr>
    </w:p>
    <w:sectPr w:rsidR="00D820EA" w:rsidSect="00B257C4">
      <w:headerReference w:type="default" r:id="rId9"/>
      <w:footerReference w:type="default" r:id="rId10"/>
      <w:footerReference w:type="first" r:id="rId11"/>
      <w:type w:val="oddPage"/>
      <w:pgSz w:w="11906" w:h="16838" w:code="9"/>
      <w:pgMar w:top="1710" w:right="1134" w:bottom="1134" w:left="1134" w:header="567"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DB0" w:rsidRDefault="00FD0DB0">
      <w:r>
        <w:separator/>
      </w:r>
    </w:p>
  </w:endnote>
  <w:endnote w:type="continuationSeparator" w:id="0">
    <w:p w:rsidR="00FD0DB0" w:rsidRDefault="00FD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83" w:rsidRPr="00701908" w:rsidRDefault="00F85883" w:rsidP="00B257C4">
    <w:pPr>
      <w:pStyle w:val="Footer"/>
      <w:tabs>
        <w:tab w:val="clear" w:pos="8306"/>
        <w:tab w:val="right" w:pos="9540"/>
      </w:tabs>
      <w:jc w:val="both"/>
      <w:rPr>
        <w:color w:val="999999"/>
        <w:sz w:val="16"/>
        <w:szCs w:val="16"/>
      </w:rPr>
    </w:pPr>
    <w:r w:rsidRPr="00916468">
      <w:rPr>
        <w:b/>
        <w:color w:val="999999"/>
        <w:sz w:val="24"/>
      </w:rPr>
      <w:t xml:space="preserve">   </w:t>
    </w:r>
    <w:hyperlink r:id="rId1" w:history="1">
      <w:r w:rsidRPr="00916468">
        <w:rPr>
          <w:rStyle w:val="Hyperlink"/>
          <w:b/>
          <w:sz w:val="24"/>
        </w:rPr>
        <w:t>http://www.thomsonreuters.com.au/</w:t>
      </w:r>
    </w:hyperlink>
    <w:r w:rsidRPr="00701908">
      <w:rPr>
        <w:color w:val="999999"/>
        <w:sz w:val="16"/>
        <w:szCs w:val="16"/>
      </w:rPr>
      <w:tab/>
      <w:t xml:space="preserve">Page </w:t>
    </w:r>
    <w:r w:rsidRPr="00701908">
      <w:rPr>
        <w:rStyle w:val="PageNumber"/>
        <w:color w:val="999999"/>
        <w:sz w:val="16"/>
        <w:szCs w:val="16"/>
      </w:rPr>
      <w:fldChar w:fldCharType="begin"/>
    </w:r>
    <w:r w:rsidRPr="00701908">
      <w:rPr>
        <w:rStyle w:val="PageNumber"/>
        <w:color w:val="999999"/>
        <w:sz w:val="16"/>
        <w:szCs w:val="16"/>
      </w:rPr>
      <w:instrText xml:space="preserve"> PAGE </w:instrText>
    </w:r>
    <w:r w:rsidRPr="00701908">
      <w:rPr>
        <w:rStyle w:val="PageNumber"/>
        <w:color w:val="999999"/>
        <w:sz w:val="16"/>
        <w:szCs w:val="16"/>
      </w:rPr>
      <w:fldChar w:fldCharType="separate"/>
    </w:r>
    <w:r w:rsidR="00F31C38">
      <w:rPr>
        <w:rStyle w:val="PageNumber"/>
        <w:noProof/>
        <w:color w:val="999999"/>
        <w:sz w:val="16"/>
        <w:szCs w:val="16"/>
      </w:rPr>
      <w:t>2</w:t>
    </w:r>
    <w:r w:rsidRPr="00701908">
      <w:rPr>
        <w:rStyle w:val="PageNumber"/>
        <w:color w:val="999999"/>
        <w:sz w:val="16"/>
        <w:szCs w:val="16"/>
      </w:rPr>
      <w:fldChar w:fldCharType="end"/>
    </w:r>
    <w:r w:rsidRPr="00701908">
      <w:rPr>
        <w:rStyle w:val="PageNumber"/>
        <w:color w:val="999999"/>
        <w:sz w:val="16"/>
        <w:szCs w:val="16"/>
      </w:rPr>
      <w:t xml:space="preserve"> of </w:t>
    </w:r>
    <w:r w:rsidRPr="00701908">
      <w:rPr>
        <w:rStyle w:val="PageNumber"/>
        <w:color w:val="999999"/>
        <w:sz w:val="16"/>
        <w:szCs w:val="16"/>
      </w:rPr>
      <w:fldChar w:fldCharType="begin"/>
    </w:r>
    <w:r w:rsidRPr="00701908">
      <w:rPr>
        <w:rStyle w:val="PageNumber"/>
        <w:color w:val="999999"/>
        <w:sz w:val="16"/>
        <w:szCs w:val="16"/>
      </w:rPr>
      <w:instrText xml:space="preserve"> NUMPAGES </w:instrText>
    </w:r>
    <w:r w:rsidRPr="00701908">
      <w:rPr>
        <w:rStyle w:val="PageNumber"/>
        <w:color w:val="999999"/>
        <w:sz w:val="16"/>
        <w:szCs w:val="16"/>
      </w:rPr>
      <w:fldChar w:fldCharType="separate"/>
    </w:r>
    <w:r w:rsidR="00F31C38">
      <w:rPr>
        <w:rStyle w:val="PageNumber"/>
        <w:noProof/>
        <w:color w:val="999999"/>
        <w:sz w:val="16"/>
        <w:szCs w:val="16"/>
      </w:rPr>
      <w:t>15</w:t>
    </w:r>
    <w:r w:rsidRPr="00701908">
      <w:rPr>
        <w:rStyle w:val="PageNumber"/>
        <w:color w:val="99999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83" w:rsidRPr="00701908" w:rsidRDefault="00F85883" w:rsidP="00701908">
    <w:pPr>
      <w:pStyle w:val="Footer"/>
      <w:tabs>
        <w:tab w:val="clear" w:pos="8306"/>
        <w:tab w:val="right" w:pos="9540"/>
      </w:tabs>
      <w:rPr>
        <w:color w:val="999999"/>
        <w:sz w:val="16"/>
        <w:szCs w:val="16"/>
      </w:rPr>
    </w:pPr>
    <w:r w:rsidRPr="00701908">
      <w:rPr>
        <w:color w:val="999999"/>
        <w:sz w:val="16"/>
        <w:szCs w:val="16"/>
      </w:rPr>
      <w:t>ITR</w:t>
    </w:r>
    <w:r>
      <w:rPr>
        <w:color w:val="999999"/>
        <w:sz w:val="16"/>
        <w:szCs w:val="16"/>
      </w:rPr>
      <w:t>C</w:t>
    </w:r>
    <w:r w:rsidRPr="00701908">
      <w:rPr>
        <w:color w:val="999999"/>
        <w:sz w:val="16"/>
        <w:szCs w:val="16"/>
      </w:rPr>
      <w:t>hecklist</w:t>
    </w:r>
    <w:r w:rsidRPr="00701908">
      <w:rPr>
        <w:color w:val="999999"/>
        <w:sz w:val="16"/>
        <w:szCs w:val="16"/>
      </w:rPr>
      <w:tab/>
    </w:r>
    <w:r w:rsidRPr="00701908">
      <w:rPr>
        <w:color w:val="999999"/>
        <w:sz w:val="16"/>
        <w:szCs w:val="16"/>
      </w:rPr>
      <w:tab/>
      <w:t xml:space="preserve">Page </w:t>
    </w:r>
    <w:r w:rsidRPr="00701908">
      <w:rPr>
        <w:rStyle w:val="PageNumber"/>
        <w:color w:val="999999"/>
        <w:sz w:val="16"/>
        <w:szCs w:val="16"/>
      </w:rPr>
      <w:fldChar w:fldCharType="begin"/>
    </w:r>
    <w:r w:rsidRPr="00701908">
      <w:rPr>
        <w:rStyle w:val="PageNumber"/>
        <w:color w:val="999999"/>
        <w:sz w:val="16"/>
        <w:szCs w:val="16"/>
      </w:rPr>
      <w:instrText xml:space="preserve"> PAGE </w:instrText>
    </w:r>
    <w:r w:rsidRPr="00701908">
      <w:rPr>
        <w:rStyle w:val="PageNumber"/>
        <w:color w:val="999999"/>
        <w:sz w:val="16"/>
        <w:szCs w:val="16"/>
      </w:rPr>
      <w:fldChar w:fldCharType="separate"/>
    </w:r>
    <w:r>
      <w:rPr>
        <w:rStyle w:val="PageNumber"/>
        <w:noProof/>
        <w:color w:val="999999"/>
        <w:sz w:val="16"/>
        <w:szCs w:val="16"/>
      </w:rPr>
      <w:t>1</w:t>
    </w:r>
    <w:r w:rsidRPr="00701908">
      <w:rPr>
        <w:rStyle w:val="PageNumber"/>
        <w:color w:val="999999"/>
        <w:sz w:val="16"/>
        <w:szCs w:val="16"/>
      </w:rPr>
      <w:fldChar w:fldCharType="end"/>
    </w:r>
    <w:r w:rsidRPr="00701908">
      <w:rPr>
        <w:rStyle w:val="PageNumber"/>
        <w:color w:val="999999"/>
        <w:sz w:val="16"/>
        <w:szCs w:val="16"/>
      </w:rPr>
      <w:t xml:space="preserve"> of </w:t>
    </w:r>
    <w:r w:rsidRPr="00701908">
      <w:rPr>
        <w:rStyle w:val="PageNumber"/>
        <w:color w:val="999999"/>
        <w:sz w:val="16"/>
        <w:szCs w:val="16"/>
      </w:rPr>
      <w:fldChar w:fldCharType="begin"/>
    </w:r>
    <w:r w:rsidRPr="00701908">
      <w:rPr>
        <w:rStyle w:val="PageNumber"/>
        <w:color w:val="999999"/>
        <w:sz w:val="16"/>
        <w:szCs w:val="16"/>
      </w:rPr>
      <w:instrText xml:space="preserve"> NUMPAGES </w:instrText>
    </w:r>
    <w:r w:rsidRPr="00701908">
      <w:rPr>
        <w:rStyle w:val="PageNumber"/>
        <w:color w:val="999999"/>
        <w:sz w:val="16"/>
        <w:szCs w:val="16"/>
      </w:rPr>
      <w:fldChar w:fldCharType="separate"/>
    </w:r>
    <w:r>
      <w:rPr>
        <w:rStyle w:val="PageNumber"/>
        <w:noProof/>
        <w:color w:val="999999"/>
        <w:sz w:val="16"/>
        <w:szCs w:val="16"/>
      </w:rPr>
      <w:t>16</w:t>
    </w:r>
    <w:r w:rsidRPr="00701908">
      <w:rPr>
        <w:rStyle w:val="PageNumber"/>
        <w:color w:val="99999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DB0" w:rsidRDefault="00FD0DB0">
      <w:r>
        <w:separator/>
      </w:r>
    </w:p>
  </w:footnote>
  <w:footnote w:type="continuationSeparator" w:id="0">
    <w:p w:rsidR="00FD0DB0" w:rsidRDefault="00FD0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83" w:rsidRDefault="00F85883">
    <w:pPr>
      <w:pStyle w:val="Header"/>
    </w:pPr>
    <w:r>
      <w:rPr>
        <w:noProof/>
        <w:lang w:eastAsia="en-AU"/>
      </w:rPr>
      <w:drawing>
        <wp:anchor distT="0" distB="0" distL="114300" distR="114300" simplePos="0" relativeHeight="251657728" behindDoc="1" locked="0" layoutInCell="1" allowOverlap="1">
          <wp:simplePos x="0" y="0"/>
          <wp:positionH relativeFrom="page">
            <wp:posOffset>4733925</wp:posOffset>
          </wp:positionH>
          <wp:positionV relativeFrom="page">
            <wp:posOffset>157480</wp:posOffset>
          </wp:positionV>
          <wp:extent cx="2466975" cy="871220"/>
          <wp:effectExtent l="19050" t="0" r="9525" b="0"/>
          <wp:wrapNone/>
          <wp:docPr id="1" name="Picture 1" descr="tr_hrz_rgb_po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_hrz_rgb_pos copy"/>
                  <pic:cNvPicPr>
                    <a:picLocks noChangeAspect="1" noChangeArrowheads="1"/>
                  </pic:cNvPicPr>
                </pic:nvPicPr>
                <pic:blipFill>
                  <a:blip r:embed="rId1"/>
                  <a:srcRect/>
                  <a:stretch>
                    <a:fillRect/>
                  </a:stretch>
                </pic:blipFill>
                <pic:spPr bwMode="auto">
                  <a:xfrm>
                    <a:off x="0" y="0"/>
                    <a:ext cx="2466975" cy="8712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DAE73C"/>
    <w:lvl w:ilvl="0">
      <w:start w:val="1"/>
      <w:numFmt w:val="decimal"/>
      <w:pStyle w:val="TableBullet"/>
      <w:lvlText w:val="%1."/>
      <w:lvlJc w:val="left"/>
      <w:pPr>
        <w:tabs>
          <w:tab w:val="num" w:pos="1492"/>
        </w:tabs>
        <w:ind w:left="1492" w:hanging="360"/>
      </w:pPr>
      <w:rPr>
        <w:rFonts w:cs="Times New Roman"/>
      </w:rPr>
    </w:lvl>
  </w:abstractNum>
  <w:abstractNum w:abstractNumId="1" w15:restartNumberingAfterBreak="0">
    <w:nsid w:val="054E2B5F"/>
    <w:multiLevelType w:val="hybridMultilevel"/>
    <w:tmpl w:val="162AB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466CA"/>
    <w:multiLevelType w:val="multilevel"/>
    <w:tmpl w:val="354C3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A4A17"/>
    <w:multiLevelType w:val="hybridMultilevel"/>
    <w:tmpl w:val="652CDFB4"/>
    <w:lvl w:ilvl="0" w:tplc="8138E744">
      <w:start w:val="1"/>
      <w:numFmt w:val="bullet"/>
      <w:pStyle w:val="Bullet1"/>
      <w:lvlText w:val="+"/>
      <w:lvlJc w:val="left"/>
      <w:pPr>
        <w:ind w:left="833" w:hanging="360"/>
      </w:pPr>
      <w:rPr>
        <w:rFonts w:ascii="Arial Black" w:hAnsi="Arial Black" w:hint="default"/>
        <w:b/>
        <w:i w:val="0"/>
        <w:sz w:val="18"/>
      </w:rPr>
    </w:lvl>
    <w:lvl w:ilvl="1" w:tplc="08090003" w:tentative="1">
      <w:start w:val="1"/>
      <w:numFmt w:val="bullet"/>
      <w:lvlText w:val="o"/>
      <w:lvlJc w:val="left"/>
      <w:pPr>
        <w:ind w:left="1553" w:hanging="360"/>
      </w:pPr>
      <w:rPr>
        <w:rFonts w:ascii="Courier New" w:hAnsi="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355C3EF5"/>
    <w:multiLevelType w:val="hybridMultilevel"/>
    <w:tmpl w:val="2138D4CE"/>
    <w:lvl w:ilvl="0" w:tplc="612672B4">
      <w:start w:val="1"/>
      <w:numFmt w:val="bullet"/>
      <w:pStyle w:val="bullet10"/>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332"/>
        </w:tabs>
        <w:ind w:left="1332" w:hanging="360"/>
      </w:pPr>
      <w:rPr>
        <w:rFonts w:ascii="Courier New" w:hAnsi="Courier New" w:hint="default"/>
      </w:rPr>
    </w:lvl>
    <w:lvl w:ilvl="2" w:tplc="FFFFFFFF">
      <w:start w:val="1"/>
      <w:numFmt w:val="bullet"/>
      <w:lvlText w:val=""/>
      <w:lvlJc w:val="left"/>
      <w:pPr>
        <w:tabs>
          <w:tab w:val="num" w:pos="2052"/>
        </w:tabs>
        <w:ind w:left="2052" w:hanging="360"/>
      </w:pPr>
      <w:rPr>
        <w:rFonts w:ascii="Wingdings" w:hAnsi="Wingdings" w:hint="default"/>
      </w:rPr>
    </w:lvl>
    <w:lvl w:ilvl="3" w:tplc="FFFFFFFF">
      <w:start w:val="1"/>
      <w:numFmt w:val="bullet"/>
      <w:lvlText w:val=""/>
      <w:lvlJc w:val="left"/>
      <w:pPr>
        <w:tabs>
          <w:tab w:val="num" w:pos="2772"/>
        </w:tabs>
        <w:ind w:left="2772" w:hanging="360"/>
      </w:pPr>
      <w:rPr>
        <w:rFonts w:ascii="Symbol" w:hAnsi="Symbol" w:hint="default"/>
      </w:rPr>
    </w:lvl>
    <w:lvl w:ilvl="4" w:tplc="FFFFFFFF">
      <w:start w:val="1"/>
      <w:numFmt w:val="bullet"/>
      <w:lvlText w:val="o"/>
      <w:lvlJc w:val="left"/>
      <w:pPr>
        <w:tabs>
          <w:tab w:val="num" w:pos="3492"/>
        </w:tabs>
        <w:ind w:left="3492" w:hanging="360"/>
      </w:pPr>
      <w:rPr>
        <w:rFonts w:ascii="Courier New" w:hAnsi="Courier New" w:hint="default"/>
      </w:rPr>
    </w:lvl>
    <w:lvl w:ilvl="5" w:tplc="FFFFFFFF">
      <w:start w:val="1"/>
      <w:numFmt w:val="bullet"/>
      <w:lvlText w:val=""/>
      <w:lvlJc w:val="left"/>
      <w:pPr>
        <w:tabs>
          <w:tab w:val="num" w:pos="4212"/>
        </w:tabs>
        <w:ind w:left="4212" w:hanging="360"/>
      </w:pPr>
      <w:rPr>
        <w:rFonts w:ascii="Wingdings" w:hAnsi="Wingdings" w:hint="default"/>
      </w:rPr>
    </w:lvl>
    <w:lvl w:ilvl="6" w:tplc="FFFFFFFF">
      <w:start w:val="1"/>
      <w:numFmt w:val="bullet"/>
      <w:lvlText w:val=""/>
      <w:lvlJc w:val="left"/>
      <w:pPr>
        <w:tabs>
          <w:tab w:val="num" w:pos="4932"/>
        </w:tabs>
        <w:ind w:left="4932" w:hanging="360"/>
      </w:pPr>
      <w:rPr>
        <w:rFonts w:ascii="Symbol" w:hAnsi="Symbol" w:hint="default"/>
      </w:rPr>
    </w:lvl>
    <w:lvl w:ilvl="7" w:tplc="FFFFFFFF">
      <w:start w:val="1"/>
      <w:numFmt w:val="bullet"/>
      <w:lvlText w:val="o"/>
      <w:lvlJc w:val="left"/>
      <w:pPr>
        <w:tabs>
          <w:tab w:val="num" w:pos="5652"/>
        </w:tabs>
        <w:ind w:left="5652" w:hanging="360"/>
      </w:pPr>
      <w:rPr>
        <w:rFonts w:ascii="Courier New" w:hAnsi="Courier New" w:hint="default"/>
      </w:rPr>
    </w:lvl>
    <w:lvl w:ilvl="8" w:tplc="FFFFFFFF">
      <w:start w:val="1"/>
      <w:numFmt w:val="bullet"/>
      <w:lvlText w:val=""/>
      <w:lvlJc w:val="left"/>
      <w:pPr>
        <w:tabs>
          <w:tab w:val="num" w:pos="6372"/>
        </w:tabs>
        <w:ind w:left="6372" w:hanging="360"/>
      </w:pPr>
      <w:rPr>
        <w:rFonts w:ascii="Wingdings" w:hAnsi="Wingdings" w:hint="default"/>
      </w:rPr>
    </w:lvl>
  </w:abstractNum>
  <w:abstractNum w:abstractNumId="5" w15:restartNumberingAfterBreak="0">
    <w:nsid w:val="36A054F7"/>
    <w:multiLevelType w:val="multilevel"/>
    <w:tmpl w:val="8816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E1FA2"/>
    <w:multiLevelType w:val="hybridMultilevel"/>
    <w:tmpl w:val="49F231CE"/>
    <w:lvl w:ilvl="0" w:tplc="495EFD6E">
      <w:start w:val="1"/>
      <w:numFmt w:val="bullet"/>
      <w:lvlText w:val=""/>
      <w:lvlJc w:val="left"/>
      <w:pPr>
        <w:ind w:left="36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893332"/>
    <w:multiLevelType w:val="hybridMultilevel"/>
    <w:tmpl w:val="6DCA6AB6"/>
    <w:lvl w:ilvl="0" w:tplc="70AE3686">
      <w:start w:val="1"/>
      <w:numFmt w:val="bullet"/>
      <w:pStyle w:val="Bullet11"/>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1"/>
  </w:num>
  <w:num w:numId="6">
    <w:abstractNumId w:val="3"/>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59"/>
    <w:rsid w:val="00000DBE"/>
    <w:rsid w:val="0000210C"/>
    <w:rsid w:val="00033C4A"/>
    <w:rsid w:val="00044E77"/>
    <w:rsid w:val="00045750"/>
    <w:rsid w:val="00072616"/>
    <w:rsid w:val="0009077D"/>
    <w:rsid w:val="00092650"/>
    <w:rsid w:val="00092FD2"/>
    <w:rsid w:val="000B2623"/>
    <w:rsid w:val="000B5BA3"/>
    <w:rsid w:val="000C1762"/>
    <w:rsid w:val="000E4FE6"/>
    <w:rsid w:val="000E65A9"/>
    <w:rsid w:val="000E7639"/>
    <w:rsid w:val="00102557"/>
    <w:rsid w:val="00125572"/>
    <w:rsid w:val="00126A4C"/>
    <w:rsid w:val="001408C7"/>
    <w:rsid w:val="00175EE5"/>
    <w:rsid w:val="001761A7"/>
    <w:rsid w:val="00180711"/>
    <w:rsid w:val="00182AED"/>
    <w:rsid w:val="00190815"/>
    <w:rsid w:val="001C42B3"/>
    <w:rsid w:val="001D28B6"/>
    <w:rsid w:val="002102A0"/>
    <w:rsid w:val="002210B9"/>
    <w:rsid w:val="00222C44"/>
    <w:rsid w:val="00227CFA"/>
    <w:rsid w:val="00230550"/>
    <w:rsid w:val="00231050"/>
    <w:rsid w:val="00245DC9"/>
    <w:rsid w:val="002745C9"/>
    <w:rsid w:val="002B3F29"/>
    <w:rsid w:val="002C3526"/>
    <w:rsid w:val="002E11B7"/>
    <w:rsid w:val="002F11B6"/>
    <w:rsid w:val="002F1538"/>
    <w:rsid w:val="00304CEA"/>
    <w:rsid w:val="00324F30"/>
    <w:rsid w:val="00332752"/>
    <w:rsid w:val="003663B0"/>
    <w:rsid w:val="003674CE"/>
    <w:rsid w:val="00367A0A"/>
    <w:rsid w:val="00385713"/>
    <w:rsid w:val="003A7363"/>
    <w:rsid w:val="00405187"/>
    <w:rsid w:val="004248A5"/>
    <w:rsid w:val="004440AF"/>
    <w:rsid w:val="00483E1D"/>
    <w:rsid w:val="00490214"/>
    <w:rsid w:val="00490DA7"/>
    <w:rsid w:val="00493B4D"/>
    <w:rsid w:val="004A32F3"/>
    <w:rsid w:val="004A3C65"/>
    <w:rsid w:val="004A78ED"/>
    <w:rsid w:val="004B47E8"/>
    <w:rsid w:val="00506823"/>
    <w:rsid w:val="00542B24"/>
    <w:rsid w:val="005454AA"/>
    <w:rsid w:val="005504C0"/>
    <w:rsid w:val="00571D25"/>
    <w:rsid w:val="005809F7"/>
    <w:rsid w:val="005811A7"/>
    <w:rsid w:val="005910AD"/>
    <w:rsid w:val="005D7602"/>
    <w:rsid w:val="005E1514"/>
    <w:rsid w:val="005F5991"/>
    <w:rsid w:val="00602CD8"/>
    <w:rsid w:val="00603329"/>
    <w:rsid w:val="006118D0"/>
    <w:rsid w:val="0062204C"/>
    <w:rsid w:val="00622737"/>
    <w:rsid w:val="00627EEA"/>
    <w:rsid w:val="00633A94"/>
    <w:rsid w:val="00651315"/>
    <w:rsid w:val="006679A2"/>
    <w:rsid w:val="00672192"/>
    <w:rsid w:val="006942DB"/>
    <w:rsid w:val="006A1C3D"/>
    <w:rsid w:val="006A6AE4"/>
    <w:rsid w:val="006C0533"/>
    <w:rsid w:val="006C5F17"/>
    <w:rsid w:val="006D663D"/>
    <w:rsid w:val="00700A4D"/>
    <w:rsid w:val="00701908"/>
    <w:rsid w:val="00726A91"/>
    <w:rsid w:val="00727873"/>
    <w:rsid w:val="00731A8C"/>
    <w:rsid w:val="00732C10"/>
    <w:rsid w:val="007344D0"/>
    <w:rsid w:val="00741E2A"/>
    <w:rsid w:val="00742CAE"/>
    <w:rsid w:val="00765356"/>
    <w:rsid w:val="00767321"/>
    <w:rsid w:val="007852DD"/>
    <w:rsid w:val="007A4C7B"/>
    <w:rsid w:val="007B3E9C"/>
    <w:rsid w:val="007B6D9A"/>
    <w:rsid w:val="007E7196"/>
    <w:rsid w:val="007F2EDF"/>
    <w:rsid w:val="0081174E"/>
    <w:rsid w:val="0083557C"/>
    <w:rsid w:val="00851C97"/>
    <w:rsid w:val="008539C5"/>
    <w:rsid w:val="008560ED"/>
    <w:rsid w:val="00870CA9"/>
    <w:rsid w:val="008B0FCD"/>
    <w:rsid w:val="008B5A76"/>
    <w:rsid w:val="008C34E2"/>
    <w:rsid w:val="008C4D56"/>
    <w:rsid w:val="008E0BD9"/>
    <w:rsid w:val="008E527B"/>
    <w:rsid w:val="008F3A04"/>
    <w:rsid w:val="00955470"/>
    <w:rsid w:val="00964525"/>
    <w:rsid w:val="009650E2"/>
    <w:rsid w:val="0097014F"/>
    <w:rsid w:val="0098201D"/>
    <w:rsid w:val="009A3B7F"/>
    <w:rsid w:val="009A3C60"/>
    <w:rsid w:val="009B6C17"/>
    <w:rsid w:val="009C6A2E"/>
    <w:rsid w:val="009D46BE"/>
    <w:rsid w:val="009F2F41"/>
    <w:rsid w:val="00A213BD"/>
    <w:rsid w:val="00A24802"/>
    <w:rsid w:val="00A3734D"/>
    <w:rsid w:val="00A50AE0"/>
    <w:rsid w:val="00A82B34"/>
    <w:rsid w:val="00A87E1B"/>
    <w:rsid w:val="00A9193C"/>
    <w:rsid w:val="00AB3D70"/>
    <w:rsid w:val="00AD1C11"/>
    <w:rsid w:val="00AD6DC9"/>
    <w:rsid w:val="00AD71A3"/>
    <w:rsid w:val="00AE0177"/>
    <w:rsid w:val="00B256D3"/>
    <w:rsid w:val="00B257C4"/>
    <w:rsid w:val="00B506F0"/>
    <w:rsid w:val="00B60AD0"/>
    <w:rsid w:val="00B75759"/>
    <w:rsid w:val="00B76B1E"/>
    <w:rsid w:val="00B967DA"/>
    <w:rsid w:val="00BA4EE4"/>
    <w:rsid w:val="00BA7FDF"/>
    <w:rsid w:val="00BC2066"/>
    <w:rsid w:val="00BE308D"/>
    <w:rsid w:val="00BE41C7"/>
    <w:rsid w:val="00BE6234"/>
    <w:rsid w:val="00BE63B4"/>
    <w:rsid w:val="00BF2D1B"/>
    <w:rsid w:val="00C1253E"/>
    <w:rsid w:val="00C26A9C"/>
    <w:rsid w:val="00C33C18"/>
    <w:rsid w:val="00C34985"/>
    <w:rsid w:val="00C7535C"/>
    <w:rsid w:val="00C9024D"/>
    <w:rsid w:val="00C922F9"/>
    <w:rsid w:val="00C9737F"/>
    <w:rsid w:val="00CD2F05"/>
    <w:rsid w:val="00CF1255"/>
    <w:rsid w:val="00D255AB"/>
    <w:rsid w:val="00D25D87"/>
    <w:rsid w:val="00D34F49"/>
    <w:rsid w:val="00D43AA0"/>
    <w:rsid w:val="00D45138"/>
    <w:rsid w:val="00D601F6"/>
    <w:rsid w:val="00D61E5E"/>
    <w:rsid w:val="00D7296A"/>
    <w:rsid w:val="00D820EA"/>
    <w:rsid w:val="00DA3768"/>
    <w:rsid w:val="00DB0543"/>
    <w:rsid w:val="00DB06FE"/>
    <w:rsid w:val="00DB1EA7"/>
    <w:rsid w:val="00DC383C"/>
    <w:rsid w:val="00DD5503"/>
    <w:rsid w:val="00DD62F1"/>
    <w:rsid w:val="00DE0733"/>
    <w:rsid w:val="00DE6AC2"/>
    <w:rsid w:val="00DE6B20"/>
    <w:rsid w:val="00DF475E"/>
    <w:rsid w:val="00E03687"/>
    <w:rsid w:val="00E05C3B"/>
    <w:rsid w:val="00E126B3"/>
    <w:rsid w:val="00E40BC1"/>
    <w:rsid w:val="00E50A61"/>
    <w:rsid w:val="00E526F7"/>
    <w:rsid w:val="00E85DB8"/>
    <w:rsid w:val="00EA7C59"/>
    <w:rsid w:val="00EB39AD"/>
    <w:rsid w:val="00EE7208"/>
    <w:rsid w:val="00F021AA"/>
    <w:rsid w:val="00F04684"/>
    <w:rsid w:val="00F24C9A"/>
    <w:rsid w:val="00F27089"/>
    <w:rsid w:val="00F31C38"/>
    <w:rsid w:val="00F43418"/>
    <w:rsid w:val="00F74A44"/>
    <w:rsid w:val="00F85883"/>
    <w:rsid w:val="00F86D41"/>
    <w:rsid w:val="00F92200"/>
    <w:rsid w:val="00F923AB"/>
    <w:rsid w:val="00F951A0"/>
    <w:rsid w:val="00FA7F53"/>
    <w:rsid w:val="00FC2955"/>
    <w:rsid w:val="00FC6684"/>
    <w:rsid w:val="00FC7100"/>
    <w:rsid w:val="00FD0DB0"/>
    <w:rsid w:val="00FD6D72"/>
    <w:rsid w:val="00FE36B0"/>
    <w:rsid w:val="00FF37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47B9D5AB-9CA4-4105-84B0-0FC4A102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C3D"/>
    <w:pPr>
      <w:spacing w:before="120"/>
    </w:pPr>
    <w:rPr>
      <w:rFonts w:ascii="Arial" w:hAnsi="Arial"/>
      <w:szCs w:val="24"/>
      <w:lang w:eastAsia="en-US"/>
    </w:rPr>
  </w:style>
  <w:style w:type="paragraph" w:styleId="Heading1">
    <w:name w:val="heading 1"/>
    <w:basedOn w:val="Normal"/>
    <w:next w:val="Normal"/>
    <w:link w:val="Heading1Char"/>
    <w:qFormat/>
    <w:rsid w:val="006A1C3D"/>
    <w:pPr>
      <w:keepNext/>
      <w:jc w:val="center"/>
      <w:outlineLvl w:val="0"/>
    </w:pPr>
    <w:rPr>
      <w:b/>
      <w:bCs/>
    </w:rPr>
  </w:style>
  <w:style w:type="paragraph" w:styleId="Heading2">
    <w:name w:val="heading 2"/>
    <w:basedOn w:val="Normal"/>
    <w:next w:val="Normal"/>
    <w:qFormat/>
    <w:rsid w:val="006A1C3D"/>
    <w:pPr>
      <w:keepNext/>
      <w:outlineLvl w:val="1"/>
    </w:pPr>
    <w:rPr>
      <w:b/>
      <w:bCs/>
    </w:rPr>
  </w:style>
  <w:style w:type="paragraph" w:styleId="Heading3">
    <w:name w:val="heading 3"/>
    <w:basedOn w:val="Normal"/>
    <w:next w:val="Normal"/>
    <w:qFormat/>
    <w:rsid w:val="006A1C3D"/>
    <w:pPr>
      <w:keepNext/>
      <w:spacing w:after="120"/>
      <w:ind w:left="17" w:hanging="17"/>
      <w:outlineLvl w:val="2"/>
    </w:pPr>
    <w:rPr>
      <w:b/>
      <w:bCs/>
      <w:smallCaps/>
    </w:rPr>
  </w:style>
  <w:style w:type="paragraph" w:styleId="Heading4">
    <w:name w:val="heading 4"/>
    <w:basedOn w:val="Normal"/>
    <w:next w:val="Normal"/>
    <w:autoRedefine/>
    <w:qFormat/>
    <w:rsid w:val="006A1C3D"/>
    <w:pPr>
      <w:keepNext/>
      <w:spacing w:before="240" w:after="60"/>
      <w:outlineLvl w:val="3"/>
    </w:pPr>
    <w:rPr>
      <w:b/>
      <w:smallCaps/>
      <w:szCs w:val="20"/>
    </w:rPr>
  </w:style>
  <w:style w:type="paragraph" w:styleId="Heading5">
    <w:name w:val="heading 5"/>
    <w:basedOn w:val="Normal"/>
    <w:next w:val="Normal"/>
    <w:qFormat/>
    <w:rsid w:val="006A1C3D"/>
    <w:pPr>
      <w:keepNext/>
      <w:spacing w:before="60" w:after="60"/>
      <w:jc w:val="center"/>
      <w:outlineLvl w:val="4"/>
    </w:pPr>
    <w:rPr>
      <w:b/>
      <w:szCs w:val="20"/>
      <w:u w:val="single"/>
    </w:rPr>
  </w:style>
  <w:style w:type="paragraph" w:styleId="Heading8">
    <w:name w:val="heading 8"/>
    <w:basedOn w:val="Normal"/>
    <w:next w:val="Normal"/>
    <w:qFormat/>
    <w:rsid w:val="006A1C3D"/>
    <w:pPr>
      <w:keepNext/>
      <w:spacing w:before="0"/>
      <w:outlineLvl w:val="7"/>
    </w:pPr>
    <w:rPr>
      <w:rFonts w:ascii="Times New Roman" w:hAnsi="Times New Roman"/>
      <w:sz w:val="24"/>
      <w:u w:val="single"/>
    </w:rPr>
  </w:style>
  <w:style w:type="paragraph" w:styleId="Heading9">
    <w:name w:val="heading 9"/>
    <w:basedOn w:val="Normal"/>
    <w:next w:val="Normal"/>
    <w:qFormat/>
    <w:rsid w:val="006A1C3D"/>
    <w:pPr>
      <w:keepNext/>
      <w:spacing w:after="60"/>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1C3D"/>
    <w:pPr>
      <w:tabs>
        <w:tab w:val="center" w:pos="4153"/>
        <w:tab w:val="right" w:pos="8306"/>
      </w:tabs>
    </w:pPr>
  </w:style>
  <w:style w:type="character" w:styleId="Hyperlink">
    <w:name w:val="Hyperlink"/>
    <w:basedOn w:val="DefaultParagraphFont"/>
    <w:rsid w:val="006A1C3D"/>
    <w:rPr>
      <w:rFonts w:cs="Times New Roman"/>
      <w:color w:val="0000FF"/>
      <w:u w:val="single"/>
    </w:rPr>
  </w:style>
  <w:style w:type="paragraph" w:styleId="BodyTextIndent3">
    <w:name w:val="Body Text Indent 3"/>
    <w:basedOn w:val="Normal"/>
    <w:rsid w:val="006A1C3D"/>
    <w:pPr>
      <w:overflowPunct w:val="0"/>
      <w:autoSpaceDE w:val="0"/>
      <w:autoSpaceDN w:val="0"/>
      <w:adjustRightInd w:val="0"/>
      <w:spacing w:before="0"/>
      <w:ind w:left="720" w:hanging="720"/>
      <w:jc w:val="both"/>
      <w:textAlignment w:val="baseline"/>
    </w:pPr>
    <w:rPr>
      <w:rFonts w:ascii="Times New Roman" w:hAnsi="Times New Roman"/>
      <w:szCs w:val="20"/>
    </w:rPr>
  </w:style>
  <w:style w:type="paragraph" w:styleId="BodyText3">
    <w:name w:val="Body Text 3"/>
    <w:basedOn w:val="Normal"/>
    <w:rsid w:val="006A1C3D"/>
    <w:pPr>
      <w:overflowPunct w:val="0"/>
      <w:autoSpaceDE w:val="0"/>
      <w:autoSpaceDN w:val="0"/>
      <w:adjustRightInd w:val="0"/>
      <w:spacing w:before="0"/>
      <w:jc w:val="both"/>
      <w:textAlignment w:val="baseline"/>
    </w:pPr>
    <w:rPr>
      <w:rFonts w:ascii="Times New Roman" w:hAnsi="Times New Roman"/>
      <w:szCs w:val="20"/>
    </w:rPr>
  </w:style>
  <w:style w:type="paragraph" w:customStyle="1" w:styleId="Reports">
    <w:name w:val="Reports"/>
    <w:basedOn w:val="Header"/>
    <w:rsid w:val="006A1C3D"/>
    <w:pPr>
      <w:overflowPunct w:val="0"/>
      <w:autoSpaceDE w:val="0"/>
      <w:autoSpaceDN w:val="0"/>
      <w:adjustRightInd w:val="0"/>
      <w:spacing w:before="0"/>
      <w:jc w:val="both"/>
      <w:textAlignment w:val="baseline"/>
    </w:pPr>
    <w:rPr>
      <w:rFonts w:ascii="Times New Roman" w:hAnsi="Times New Roman"/>
      <w:sz w:val="23"/>
      <w:szCs w:val="20"/>
    </w:rPr>
  </w:style>
  <w:style w:type="paragraph" w:customStyle="1" w:styleId="Bullet11">
    <w:name w:val="Bullet 1"/>
    <w:basedOn w:val="Normal"/>
    <w:rsid w:val="006A1C3D"/>
    <w:pPr>
      <w:numPr>
        <w:numId w:val="1"/>
      </w:numPr>
      <w:tabs>
        <w:tab w:val="num" w:pos="227"/>
      </w:tabs>
      <w:spacing w:before="60"/>
      <w:ind w:left="227" w:hanging="227"/>
    </w:pPr>
    <w:rPr>
      <w:rFonts w:cs="Arial"/>
    </w:rPr>
  </w:style>
  <w:style w:type="character" w:styleId="FollowedHyperlink">
    <w:name w:val="FollowedHyperlink"/>
    <w:basedOn w:val="DefaultParagraphFont"/>
    <w:rsid w:val="006A1C3D"/>
    <w:rPr>
      <w:rFonts w:cs="Times New Roman"/>
      <w:color w:val="800080"/>
      <w:u w:val="single"/>
    </w:rPr>
  </w:style>
  <w:style w:type="paragraph" w:styleId="BodyText2">
    <w:name w:val="Body Text 2"/>
    <w:basedOn w:val="Normal"/>
    <w:rsid w:val="006A1C3D"/>
    <w:pPr>
      <w:numPr>
        <w:ilvl w:val="12"/>
      </w:numPr>
      <w:spacing w:before="0"/>
    </w:pPr>
    <w:rPr>
      <w:rFonts w:ascii="Times New Roman" w:hAnsi="Times New Roman"/>
    </w:rPr>
  </w:style>
  <w:style w:type="paragraph" w:styleId="Footer">
    <w:name w:val="footer"/>
    <w:basedOn w:val="Normal"/>
    <w:rsid w:val="006A1C3D"/>
    <w:pPr>
      <w:tabs>
        <w:tab w:val="center" w:pos="4153"/>
        <w:tab w:val="right" w:pos="8306"/>
      </w:tabs>
    </w:pPr>
  </w:style>
  <w:style w:type="paragraph" w:customStyle="1" w:styleId="Notes">
    <w:name w:val="Notes"/>
    <w:basedOn w:val="Normal"/>
    <w:rsid w:val="006A1C3D"/>
    <w:pPr>
      <w:spacing w:before="100" w:line="200" w:lineRule="exact"/>
    </w:pPr>
    <w:rPr>
      <w:bCs/>
      <w:sz w:val="16"/>
    </w:rPr>
  </w:style>
  <w:style w:type="character" w:styleId="PageNumber">
    <w:name w:val="page number"/>
    <w:basedOn w:val="DefaultParagraphFont"/>
    <w:rsid w:val="006A1C3D"/>
    <w:rPr>
      <w:rFonts w:cs="Times New Roman"/>
    </w:rPr>
  </w:style>
  <w:style w:type="paragraph" w:styleId="BalloonText">
    <w:name w:val="Balloon Text"/>
    <w:basedOn w:val="Normal"/>
    <w:semiHidden/>
    <w:rsid w:val="006A1C3D"/>
    <w:rPr>
      <w:rFonts w:ascii="Tahoma" w:hAnsi="Tahoma" w:cs="Tahoma"/>
      <w:sz w:val="16"/>
      <w:szCs w:val="16"/>
    </w:rPr>
  </w:style>
  <w:style w:type="paragraph" w:styleId="BlockText">
    <w:name w:val="Block Text"/>
    <w:basedOn w:val="Normal"/>
    <w:rsid w:val="006A1C3D"/>
    <w:pPr>
      <w:spacing w:before="60" w:after="60"/>
      <w:ind w:left="360" w:right="1016"/>
    </w:pPr>
    <w:rPr>
      <w:szCs w:val="20"/>
    </w:rPr>
  </w:style>
  <w:style w:type="paragraph" w:styleId="BodyText">
    <w:name w:val="Body Text"/>
    <w:basedOn w:val="Normal"/>
    <w:rsid w:val="006A1C3D"/>
    <w:pPr>
      <w:spacing w:before="60" w:after="120"/>
      <w:jc w:val="both"/>
    </w:pPr>
    <w:rPr>
      <w:sz w:val="23"/>
      <w:szCs w:val="20"/>
    </w:rPr>
  </w:style>
  <w:style w:type="paragraph" w:styleId="BodyTextIndent">
    <w:name w:val="Body Text Indent"/>
    <w:basedOn w:val="Normal"/>
    <w:rsid w:val="006A1C3D"/>
    <w:pPr>
      <w:spacing w:before="360" w:after="120"/>
      <w:ind w:left="2342"/>
    </w:pPr>
    <w:rPr>
      <w:i/>
      <w:szCs w:val="20"/>
    </w:rPr>
  </w:style>
  <w:style w:type="paragraph" w:styleId="BodyTextIndent2">
    <w:name w:val="Body Text Indent 2"/>
    <w:basedOn w:val="Normal"/>
    <w:rsid w:val="006A1C3D"/>
    <w:pPr>
      <w:spacing w:after="120"/>
      <w:ind w:left="540" w:hanging="540"/>
    </w:pPr>
    <w:rPr>
      <w:szCs w:val="20"/>
    </w:rPr>
  </w:style>
  <w:style w:type="paragraph" w:customStyle="1" w:styleId="StyleHeading411pt">
    <w:name w:val="Style Heading 4 + 11 pt"/>
    <w:basedOn w:val="Heading4"/>
    <w:autoRedefine/>
    <w:rsid w:val="006A1C3D"/>
    <w:rPr>
      <w:bCs/>
    </w:rPr>
  </w:style>
  <w:style w:type="paragraph" w:customStyle="1" w:styleId="StyleBefore12ptAfter6pt">
    <w:name w:val="Style Before:  12 pt After:  6 pt"/>
    <w:basedOn w:val="Normal"/>
    <w:autoRedefine/>
    <w:rsid w:val="006A1C3D"/>
    <w:pPr>
      <w:spacing w:before="240" w:after="120"/>
    </w:pPr>
    <w:rPr>
      <w:smallCaps/>
      <w:szCs w:val="20"/>
    </w:rPr>
  </w:style>
  <w:style w:type="paragraph" w:customStyle="1" w:styleId="bullet10">
    <w:name w:val="bullet 1"/>
    <w:basedOn w:val="Normal"/>
    <w:rsid w:val="006A1C3D"/>
    <w:pPr>
      <w:numPr>
        <w:numId w:val="2"/>
      </w:numPr>
      <w:spacing w:before="0"/>
    </w:pPr>
    <w:rPr>
      <w:szCs w:val="20"/>
      <w:lang w:val="en-US"/>
    </w:rPr>
  </w:style>
  <w:style w:type="character" w:styleId="CommentReference">
    <w:name w:val="annotation reference"/>
    <w:basedOn w:val="DefaultParagraphFont"/>
    <w:semiHidden/>
    <w:rsid w:val="008539C5"/>
    <w:rPr>
      <w:rFonts w:cs="Times New Roman"/>
      <w:sz w:val="16"/>
      <w:szCs w:val="16"/>
    </w:rPr>
  </w:style>
  <w:style w:type="paragraph" w:styleId="CommentText">
    <w:name w:val="annotation text"/>
    <w:basedOn w:val="Normal"/>
    <w:link w:val="CommentTextChar"/>
    <w:semiHidden/>
    <w:rsid w:val="008539C5"/>
    <w:rPr>
      <w:szCs w:val="20"/>
    </w:rPr>
  </w:style>
  <w:style w:type="character" w:customStyle="1" w:styleId="CommentTextChar">
    <w:name w:val="Comment Text Char"/>
    <w:basedOn w:val="DefaultParagraphFont"/>
    <w:link w:val="CommentText"/>
    <w:locked/>
    <w:rsid w:val="008539C5"/>
    <w:rPr>
      <w:rFonts w:ascii="Arial" w:hAnsi="Arial" w:cs="Times New Roman"/>
      <w:lang w:eastAsia="en-US"/>
    </w:rPr>
  </w:style>
  <w:style w:type="paragraph" w:styleId="CommentSubject">
    <w:name w:val="annotation subject"/>
    <w:basedOn w:val="CommentText"/>
    <w:next w:val="CommentText"/>
    <w:link w:val="CommentSubjectChar"/>
    <w:semiHidden/>
    <w:rsid w:val="008539C5"/>
    <w:rPr>
      <w:b/>
      <w:bCs/>
    </w:rPr>
  </w:style>
  <w:style w:type="character" w:customStyle="1" w:styleId="CommentSubjectChar">
    <w:name w:val="Comment Subject Char"/>
    <w:basedOn w:val="CommentTextChar"/>
    <w:link w:val="CommentSubject"/>
    <w:locked/>
    <w:rsid w:val="008539C5"/>
    <w:rPr>
      <w:rFonts w:ascii="Arial" w:hAnsi="Arial" w:cs="Times New Roman"/>
      <w:b/>
      <w:bCs/>
      <w:lang w:eastAsia="en-US"/>
    </w:rPr>
  </w:style>
  <w:style w:type="paragraph" w:customStyle="1" w:styleId="NormalAfter6pt">
    <w:name w:val="Normal + After:  6 pt"/>
    <w:basedOn w:val="Normal"/>
    <w:rsid w:val="00BE308D"/>
  </w:style>
  <w:style w:type="paragraph" w:customStyle="1" w:styleId="Table">
    <w:name w:val="_Table"/>
    <w:basedOn w:val="Normal"/>
    <w:rsid w:val="00D61E5E"/>
    <w:pPr>
      <w:spacing w:before="60" w:after="60"/>
    </w:pPr>
    <w:rPr>
      <w:rFonts w:eastAsia="MS Gothic"/>
      <w:sz w:val="17"/>
      <w:szCs w:val="17"/>
    </w:rPr>
  </w:style>
  <w:style w:type="paragraph" w:styleId="Revision">
    <w:name w:val="Revision"/>
    <w:hidden/>
    <w:uiPriority w:val="71"/>
    <w:rsid w:val="00FD6D72"/>
    <w:rPr>
      <w:rFonts w:ascii="Arial" w:hAnsi="Arial"/>
      <w:szCs w:val="24"/>
      <w:lang w:eastAsia="en-US"/>
    </w:rPr>
  </w:style>
  <w:style w:type="character" w:customStyle="1" w:styleId="resizable-content">
    <w:name w:val="resizable-content"/>
    <w:rsid w:val="0062204C"/>
  </w:style>
  <w:style w:type="paragraph" w:customStyle="1" w:styleId="Source">
    <w:name w:val="_Source"/>
    <w:basedOn w:val="Normal"/>
    <w:rsid w:val="00227CFA"/>
    <w:pPr>
      <w:tabs>
        <w:tab w:val="left" w:pos="368"/>
      </w:tabs>
      <w:spacing w:before="60" w:after="120"/>
      <w:ind w:left="368" w:right="-120" w:hanging="368"/>
    </w:pPr>
    <w:rPr>
      <w:rFonts w:eastAsia="MS Gothic"/>
      <w:color w:val="000000"/>
      <w:sz w:val="12"/>
      <w:szCs w:val="17"/>
    </w:rPr>
  </w:style>
  <w:style w:type="paragraph" w:customStyle="1" w:styleId="TableBullet">
    <w:name w:val="_Table Bullet"/>
    <w:basedOn w:val="Table"/>
    <w:rsid w:val="00227CFA"/>
    <w:pPr>
      <w:numPr>
        <w:numId w:val="3"/>
      </w:numPr>
      <w:tabs>
        <w:tab w:val="left" w:pos="567"/>
      </w:tabs>
      <w:ind w:left="360"/>
    </w:pPr>
  </w:style>
  <w:style w:type="character" w:customStyle="1" w:styleId="Heading1Char">
    <w:name w:val="Heading 1 Char"/>
    <w:link w:val="Heading1"/>
    <w:locked/>
    <w:rsid w:val="00227CFA"/>
    <w:rPr>
      <w:rFonts w:ascii="Arial" w:hAnsi="Arial"/>
      <w:b/>
      <w:bCs/>
      <w:szCs w:val="24"/>
      <w:lang w:eastAsia="en-US"/>
    </w:rPr>
  </w:style>
  <w:style w:type="paragraph" w:customStyle="1" w:styleId="Tableheading">
    <w:name w:val="_Table heading"/>
    <w:basedOn w:val="Table"/>
    <w:rsid w:val="00227CFA"/>
    <w:pPr>
      <w:spacing w:before="100" w:after="100"/>
    </w:pPr>
    <w:rPr>
      <w:b/>
    </w:rPr>
  </w:style>
  <w:style w:type="paragraph" w:customStyle="1" w:styleId="Between">
    <w:name w:val="_Between"/>
    <w:basedOn w:val="Table"/>
    <w:rsid w:val="00227CFA"/>
  </w:style>
  <w:style w:type="paragraph" w:styleId="NoSpacing">
    <w:name w:val="No Spacing"/>
    <w:uiPriority w:val="1"/>
    <w:qFormat/>
    <w:rsid w:val="00227CFA"/>
    <w:pPr>
      <w:jc w:val="both"/>
    </w:pPr>
    <w:rPr>
      <w:rFonts w:ascii="Arial" w:eastAsia="Calibri" w:hAnsi="Arial" w:cs="Arial"/>
      <w:sz w:val="24"/>
      <w:szCs w:val="24"/>
      <w:lang w:eastAsia="en-US"/>
    </w:rPr>
  </w:style>
  <w:style w:type="paragraph" w:styleId="NormalWeb">
    <w:name w:val="Normal (Web)"/>
    <w:basedOn w:val="Normal"/>
    <w:uiPriority w:val="99"/>
    <w:unhideWhenUsed/>
    <w:rsid w:val="00227CFA"/>
    <w:pPr>
      <w:spacing w:before="0"/>
    </w:pPr>
    <w:rPr>
      <w:rFonts w:ascii="Times New Roman" w:hAnsi="Times New Roman"/>
      <w:sz w:val="24"/>
      <w:lang w:eastAsia="en-AU"/>
    </w:rPr>
  </w:style>
  <w:style w:type="paragraph" w:customStyle="1" w:styleId="Bullet1">
    <w:name w:val="_Bullet 1"/>
    <w:basedOn w:val="Normal"/>
    <w:rsid w:val="00F92200"/>
    <w:pPr>
      <w:numPr>
        <w:numId w:val="6"/>
      </w:numPr>
      <w:tabs>
        <w:tab w:val="left" w:pos="204"/>
      </w:tabs>
      <w:spacing w:before="80" w:after="40"/>
      <w:ind w:left="204" w:right="-120" w:hanging="204"/>
    </w:pPr>
    <w:rPr>
      <w:rFonts w:eastAsia="MS Gothic"/>
      <w:color w:val="000000"/>
      <w:sz w:val="17"/>
      <w:szCs w:val="17"/>
    </w:rPr>
  </w:style>
  <w:style w:type="character" w:customStyle="1" w:styleId="Boldemphasis">
    <w:name w:val="Bold emphasis"/>
    <w:basedOn w:val="DefaultParagraphFont"/>
    <w:rsid w:val="008F3A04"/>
    <w:rPr>
      <w:b/>
      <w:bCs/>
    </w:rPr>
  </w:style>
  <w:style w:type="character" w:customStyle="1" w:styleId="visuallyhidden1">
    <w:name w:val="visuallyhidden1"/>
    <w:basedOn w:val="DefaultParagraphFont"/>
    <w:rsid w:val="008560ED"/>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26113">
      <w:bodyDiv w:val="1"/>
      <w:marLeft w:val="0"/>
      <w:marRight w:val="0"/>
      <w:marTop w:val="0"/>
      <w:marBottom w:val="0"/>
      <w:divBdr>
        <w:top w:val="none" w:sz="0" w:space="0" w:color="auto"/>
        <w:left w:val="none" w:sz="0" w:space="0" w:color="auto"/>
        <w:bottom w:val="none" w:sz="0" w:space="0" w:color="auto"/>
        <w:right w:val="none" w:sz="0" w:space="0" w:color="auto"/>
      </w:divBdr>
      <w:divsChild>
        <w:div w:id="1653949960">
          <w:marLeft w:val="0"/>
          <w:marRight w:val="0"/>
          <w:marTop w:val="0"/>
          <w:marBottom w:val="0"/>
          <w:divBdr>
            <w:top w:val="none" w:sz="0" w:space="0" w:color="auto"/>
            <w:left w:val="none" w:sz="0" w:space="0" w:color="auto"/>
            <w:bottom w:val="none" w:sz="0" w:space="0" w:color="auto"/>
            <w:right w:val="none" w:sz="0" w:space="0" w:color="auto"/>
          </w:divBdr>
          <w:divsChild>
            <w:div w:id="1845434192">
              <w:marLeft w:val="0"/>
              <w:marRight w:val="0"/>
              <w:marTop w:val="0"/>
              <w:marBottom w:val="0"/>
              <w:divBdr>
                <w:top w:val="none" w:sz="0" w:space="0" w:color="auto"/>
                <w:left w:val="none" w:sz="0" w:space="0" w:color="auto"/>
                <w:bottom w:val="none" w:sz="0" w:space="0" w:color="auto"/>
                <w:right w:val="none" w:sz="0" w:space="0" w:color="auto"/>
              </w:divBdr>
              <w:divsChild>
                <w:div w:id="1837920206">
                  <w:marLeft w:val="0"/>
                  <w:marRight w:val="0"/>
                  <w:marTop w:val="0"/>
                  <w:marBottom w:val="0"/>
                  <w:divBdr>
                    <w:top w:val="none" w:sz="0" w:space="0" w:color="auto"/>
                    <w:left w:val="none" w:sz="0" w:space="0" w:color="auto"/>
                    <w:bottom w:val="none" w:sz="0" w:space="0" w:color="auto"/>
                    <w:right w:val="none" w:sz="0" w:space="0" w:color="auto"/>
                  </w:divBdr>
                  <w:divsChild>
                    <w:div w:id="1172573104">
                      <w:marLeft w:val="-204"/>
                      <w:marRight w:val="-204"/>
                      <w:marTop w:val="0"/>
                      <w:marBottom w:val="0"/>
                      <w:divBdr>
                        <w:top w:val="none" w:sz="0" w:space="0" w:color="auto"/>
                        <w:left w:val="none" w:sz="0" w:space="0" w:color="auto"/>
                        <w:bottom w:val="none" w:sz="0" w:space="0" w:color="auto"/>
                        <w:right w:val="none" w:sz="0" w:space="0" w:color="auto"/>
                      </w:divBdr>
                      <w:divsChild>
                        <w:div w:id="516651522">
                          <w:marLeft w:val="0"/>
                          <w:marRight w:val="0"/>
                          <w:marTop w:val="0"/>
                          <w:marBottom w:val="0"/>
                          <w:divBdr>
                            <w:top w:val="none" w:sz="0" w:space="0" w:color="auto"/>
                            <w:left w:val="none" w:sz="0" w:space="0" w:color="auto"/>
                            <w:bottom w:val="none" w:sz="0" w:space="0" w:color="auto"/>
                            <w:right w:val="none" w:sz="0" w:space="0" w:color="auto"/>
                          </w:divBdr>
                          <w:divsChild>
                            <w:div w:id="1150245728">
                              <w:marLeft w:val="0"/>
                              <w:marRight w:val="0"/>
                              <w:marTop w:val="0"/>
                              <w:marBottom w:val="0"/>
                              <w:divBdr>
                                <w:top w:val="none" w:sz="0" w:space="0" w:color="auto"/>
                                <w:left w:val="none" w:sz="0" w:space="0" w:color="auto"/>
                                <w:bottom w:val="none" w:sz="0" w:space="0" w:color="auto"/>
                                <w:right w:val="none" w:sz="0" w:space="0" w:color="auto"/>
                              </w:divBdr>
                              <w:divsChild>
                                <w:div w:id="971446702">
                                  <w:marLeft w:val="0"/>
                                  <w:marRight w:val="0"/>
                                  <w:marTop w:val="0"/>
                                  <w:marBottom w:val="0"/>
                                  <w:divBdr>
                                    <w:top w:val="none" w:sz="0" w:space="0" w:color="auto"/>
                                    <w:left w:val="none" w:sz="0" w:space="0" w:color="auto"/>
                                    <w:bottom w:val="none" w:sz="0" w:space="0" w:color="auto"/>
                                    <w:right w:val="none" w:sz="0" w:space="0" w:color="auto"/>
                                  </w:divBdr>
                                  <w:divsChild>
                                    <w:div w:id="96297846">
                                      <w:marLeft w:val="-204"/>
                                      <w:marRight w:val="-204"/>
                                      <w:marTop w:val="0"/>
                                      <w:marBottom w:val="0"/>
                                      <w:divBdr>
                                        <w:top w:val="none" w:sz="0" w:space="0" w:color="auto"/>
                                        <w:left w:val="none" w:sz="0" w:space="0" w:color="auto"/>
                                        <w:bottom w:val="none" w:sz="0" w:space="0" w:color="auto"/>
                                        <w:right w:val="none" w:sz="0" w:space="0" w:color="auto"/>
                                      </w:divBdr>
                                      <w:divsChild>
                                        <w:div w:id="1151677070">
                                          <w:marLeft w:val="0"/>
                                          <w:marRight w:val="0"/>
                                          <w:marTop w:val="0"/>
                                          <w:marBottom w:val="0"/>
                                          <w:divBdr>
                                            <w:top w:val="none" w:sz="0" w:space="0" w:color="auto"/>
                                            <w:left w:val="none" w:sz="0" w:space="0" w:color="auto"/>
                                            <w:bottom w:val="none" w:sz="0" w:space="0" w:color="auto"/>
                                            <w:right w:val="none" w:sz="0" w:space="0" w:color="auto"/>
                                          </w:divBdr>
                                          <w:divsChild>
                                            <w:div w:id="1185941233">
                                              <w:marLeft w:val="0"/>
                                              <w:marRight w:val="0"/>
                                              <w:marTop w:val="0"/>
                                              <w:marBottom w:val="0"/>
                                              <w:divBdr>
                                                <w:top w:val="none" w:sz="0" w:space="0" w:color="auto"/>
                                                <w:left w:val="none" w:sz="0" w:space="0" w:color="auto"/>
                                                <w:bottom w:val="none" w:sz="0" w:space="0" w:color="auto"/>
                                                <w:right w:val="none" w:sz="0" w:space="0" w:color="auto"/>
                                              </w:divBdr>
                                              <w:divsChild>
                                                <w:div w:id="1607880471">
                                                  <w:marLeft w:val="0"/>
                                                  <w:marRight w:val="0"/>
                                                  <w:marTop w:val="0"/>
                                                  <w:marBottom w:val="0"/>
                                                  <w:divBdr>
                                                    <w:top w:val="none" w:sz="0" w:space="0" w:color="auto"/>
                                                    <w:left w:val="none" w:sz="0" w:space="0" w:color="auto"/>
                                                    <w:bottom w:val="none" w:sz="0" w:space="0" w:color="auto"/>
                                                    <w:right w:val="none" w:sz="0" w:space="0" w:color="auto"/>
                                                  </w:divBdr>
                                                  <w:divsChild>
                                                    <w:div w:id="1743064508">
                                                      <w:marLeft w:val="0"/>
                                                      <w:marRight w:val="0"/>
                                                      <w:marTop w:val="0"/>
                                                      <w:marBottom w:val="0"/>
                                                      <w:divBdr>
                                                        <w:top w:val="none" w:sz="0" w:space="0" w:color="auto"/>
                                                        <w:left w:val="none" w:sz="0" w:space="0" w:color="auto"/>
                                                        <w:bottom w:val="none" w:sz="0" w:space="0" w:color="auto"/>
                                                        <w:right w:val="none" w:sz="0" w:space="0" w:color="auto"/>
                                                      </w:divBdr>
                                                      <w:divsChild>
                                                        <w:div w:id="1233662392">
                                                          <w:marLeft w:val="0"/>
                                                          <w:marRight w:val="0"/>
                                                          <w:marTop w:val="0"/>
                                                          <w:marBottom w:val="0"/>
                                                          <w:divBdr>
                                                            <w:top w:val="none" w:sz="0" w:space="0" w:color="auto"/>
                                                            <w:left w:val="none" w:sz="0" w:space="0" w:color="auto"/>
                                                            <w:bottom w:val="none" w:sz="0" w:space="0" w:color="auto"/>
                                                            <w:right w:val="none" w:sz="0" w:space="0" w:color="auto"/>
                                                          </w:divBdr>
                                                          <w:divsChild>
                                                            <w:div w:id="1301374668">
                                                              <w:marLeft w:val="0"/>
                                                              <w:marRight w:val="0"/>
                                                              <w:marTop w:val="0"/>
                                                              <w:marBottom w:val="0"/>
                                                              <w:divBdr>
                                                                <w:top w:val="none" w:sz="0" w:space="0" w:color="auto"/>
                                                                <w:left w:val="none" w:sz="0" w:space="0" w:color="auto"/>
                                                                <w:bottom w:val="none" w:sz="0" w:space="0" w:color="auto"/>
                                                                <w:right w:val="none" w:sz="0" w:space="0" w:color="auto"/>
                                                              </w:divBdr>
                                                              <w:divsChild>
                                                                <w:div w:id="884490824">
                                                                  <w:marLeft w:val="272"/>
                                                                  <w:marRight w:val="27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3558561">
      <w:bodyDiv w:val="1"/>
      <w:marLeft w:val="0"/>
      <w:marRight w:val="0"/>
      <w:marTop w:val="0"/>
      <w:marBottom w:val="0"/>
      <w:divBdr>
        <w:top w:val="none" w:sz="0" w:space="0" w:color="auto"/>
        <w:left w:val="none" w:sz="0" w:space="0" w:color="auto"/>
        <w:bottom w:val="none" w:sz="0" w:space="0" w:color="auto"/>
        <w:right w:val="none" w:sz="0" w:space="0" w:color="auto"/>
      </w:divBdr>
      <w:divsChild>
        <w:div w:id="1140341609">
          <w:marLeft w:val="0"/>
          <w:marRight w:val="0"/>
          <w:marTop w:val="0"/>
          <w:marBottom w:val="0"/>
          <w:divBdr>
            <w:top w:val="none" w:sz="0" w:space="0" w:color="auto"/>
            <w:left w:val="none" w:sz="0" w:space="0" w:color="auto"/>
            <w:bottom w:val="none" w:sz="0" w:space="0" w:color="auto"/>
            <w:right w:val="none" w:sz="0" w:space="0" w:color="auto"/>
          </w:divBdr>
          <w:divsChild>
            <w:div w:id="97062855">
              <w:marLeft w:val="0"/>
              <w:marRight w:val="0"/>
              <w:marTop w:val="0"/>
              <w:marBottom w:val="0"/>
              <w:divBdr>
                <w:top w:val="none" w:sz="0" w:space="0" w:color="auto"/>
                <w:left w:val="none" w:sz="0" w:space="0" w:color="auto"/>
                <w:bottom w:val="none" w:sz="0" w:space="0" w:color="auto"/>
                <w:right w:val="none" w:sz="0" w:space="0" w:color="auto"/>
              </w:divBdr>
              <w:divsChild>
                <w:div w:id="717821894">
                  <w:marLeft w:val="0"/>
                  <w:marRight w:val="0"/>
                  <w:marTop w:val="0"/>
                  <w:marBottom w:val="0"/>
                  <w:divBdr>
                    <w:top w:val="none" w:sz="0" w:space="0" w:color="auto"/>
                    <w:left w:val="none" w:sz="0" w:space="0" w:color="auto"/>
                    <w:bottom w:val="none" w:sz="0" w:space="0" w:color="auto"/>
                    <w:right w:val="none" w:sz="0" w:space="0" w:color="auto"/>
                  </w:divBdr>
                  <w:divsChild>
                    <w:div w:id="996960441">
                      <w:marLeft w:val="-204"/>
                      <w:marRight w:val="-204"/>
                      <w:marTop w:val="0"/>
                      <w:marBottom w:val="0"/>
                      <w:divBdr>
                        <w:top w:val="none" w:sz="0" w:space="0" w:color="auto"/>
                        <w:left w:val="none" w:sz="0" w:space="0" w:color="auto"/>
                        <w:bottom w:val="none" w:sz="0" w:space="0" w:color="auto"/>
                        <w:right w:val="none" w:sz="0" w:space="0" w:color="auto"/>
                      </w:divBdr>
                      <w:divsChild>
                        <w:div w:id="213389515">
                          <w:marLeft w:val="0"/>
                          <w:marRight w:val="0"/>
                          <w:marTop w:val="0"/>
                          <w:marBottom w:val="0"/>
                          <w:divBdr>
                            <w:top w:val="none" w:sz="0" w:space="0" w:color="auto"/>
                            <w:left w:val="none" w:sz="0" w:space="0" w:color="auto"/>
                            <w:bottom w:val="none" w:sz="0" w:space="0" w:color="auto"/>
                            <w:right w:val="none" w:sz="0" w:space="0" w:color="auto"/>
                          </w:divBdr>
                          <w:divsChild>
                            <w:div w:id="780338730">
                              <w:marLeft w:val="0"/>
                              <w:marRight w:val="0"/>
                              <w:marTop w:val="0"/>
                              <w:marBottom w:val="0"/>
                              <w:divBdr>
                                <w:top w:val="none" w:sz="0" w:space="0" w:color="auto"/>
                                <w:left w:val="none" w:sz="0" w:space="0" w:color="auto"/>
                                <w:bottom w:val="none" w:sz="0" w:space="0" w:color="auto"/>
                                <w:right w:val="none" w:sz="0" w:space="0" w:color="auto"/>
                              </w:divBdr>
                              <w:divsChild>
                                <w:div w:id="393164998">
                                  <w:marLeft w:val="0"/>
                                  <w:marRight w:val="0"/>
                                  <w:marTop w:val="0"/>
                                  <w:marBottom w:val="0"/>
                                  <w:divBdr>
                                    <w:top w:val="none" w:sz="0" w:space="0" w:color="auto"/>
                                    <w:left w:val="none" w:sz="0" w:space="0" w:color="auto"/>
                                    <w:bottom w:val="none" w:sz="0" w:space="0" w:color="auto"/>
                                    <w:right w:val="none" w:sz="0" w:space="0" w:color="auto"/>
                                  </w:divBdr>
                                  <w:divsChild>
                                    <w:div w:id="663096258">
                                      <w:marLeft w:val="-204"/>
                                      <w:marRight w:val="-204"/>
                                      <w:marTop w:val="0"/>
                                      <w:marBottom w:val="0"/>
                                      <w:divBdr>
                                        <w:top w:val="none" w:sz="0" w:space="0" w:color="auto"/>
                                        <w:left w:val="none" w:sz="0" w:space="0" w:color="auto"/>
                                        <w:bottom w:val="none" w:sz="0" w:space="0" w:color="auto"/>
                                        <w:right w:val="none" w:sz="0" w:space="0" w:color="auto"/>
                                      </w:divBdr>
                                      <w:divsChild>
                                        <w:div w:id="1596015208">
                                          <w:marLeft w:val="0"/>
                                          <w:marRight w:val="0"/>
                                          <w:marTop w:val="0"/>
                                          <w:marBottom w:val="0"/>
                                          <w:divBdr>
                                            <w:top w:val="none" w:sz="0" w:space="0" w:color="auto"/>
                                            <w:left w:val="none" w:sz="0" w:space="0" w:color="auto"/>
                                            <w:bottom w:val="none" w:sz="0" w:space="0" w:color="auto"/>
                                            <w:right w:val="none" w:sz="0" w:space="0" w:color="auto"/>
                                          </w:divBdr>
                                          <w:divsChild>
                                            <w:div w:id="777337012">
                                              <w:marLeft w:val="0"/>
                                              <w:marRight w:val="0"/>
                                              <w:marTop w:val="0"/>
                                              <w:marBottom w:val="0"/>
                                              <w:divBdr>
                                                <w:top w:val="none" w:sz="0" w:space="0" w:color="auto"/>
                                                <w:left w:val="none" w:sz="0" w:space="0" w:color="auto"/>
                                                <w:bottom w:val="none" w:sz="0" w:space="0" w:color="auto"/>
                                                <w:right w:val="none" w:sz="0" w:space="0" w:color="auto"/>
                                              </w:divBdr>
                                              <w:divsChild>
                                                <w:div w:id="1380088655">
                                                  <w:marLeft w:val="0"/>
                                                  <w:marRight w:val="0"/>
                                                  <w:marTop w:val="0"/>
                                                  <w:marBottom w:val="0"/>
                                                  <w:divBdr>
                                                    <w:top w:val="none" w:sz="0" w:space="0" w:color="auto"/>
                                                    <w:left w:val="none" w:sz="0" w:space="0" w:color="auto"/>
                                                    <w:bottom w:val="none" w:sz="0" w:space="0" w:color="auto"/>
                                                    <w:right w:val="none" w:sz="0" w:space="0" w:color="auto"/>
                                                  </w:divBdr>
                                                  <w:divsChild>
                                                    <w:div w:id="1742170422">
                                                      <w:marLeft w:val="0"/>
                                                      <w:marRight w:val="0"/>
                                                      <w:marTop w:val="0"/>
                                                      <w:marBottom w:val="0"/>
                                                      <w:divBdr>
                                                        <w:top w:val="none" w:sz="0" w:space="0" w:color="auto"/>
                                                        <w:left w:val="none" w:sz="0" w:space="0" w:color="auto"/>
                                                        <w:bottom w:val="none" w:sz="0" w:space="0" w:color="auto"/>
                                                        <w:right w:val="none" w:sz="0" w:space="0" w:color="auto"/>
                                                      </w:divBdr>
                                                      <w:divsChild>
                                                        <w:div w:id="951788602">
                                                          <w:marLeft w:val="0"/>
                                                          <w:marRight w:val="0"/>
                                                          <w:marTop w:val="0"/>
                                                          <w:marBottom w:val="0"/>
                                                          <w:divBdr>
                                                            <w:top w:val="none" w:sz="0" w:space="0" w:color="auto"/>
                                                            <w:left w:val="none" w:sz="0" w:space="0" w:color="auto"/>
                                                            <w:bottom w:val="none" w:sz="0" w:space="0" w:color="auto"/>
                                                            <w:right w:val="none" w:sz="0" w:space="0" w:color="auto"/>
                                                          </w:divBdr>
                                                          <w:divsChild>
                                                            <w:div w:id="1506631681">
                                                              <w:marLeft w:val="0"/>
                                                              <w:marRight w:val="0"/>
                                                              <w:marTop w:val="0"/>
                                                              <w:marBottom w:val="0"/>
                                                              <w:divBdr>
                                                                <w:top w:val="none" w:sz="0" w:space="0" w:color="auto"/>
                                                                <w:left w:val="none" w:sz="0" w:space="0" w:color="auto"/>
                                                                <w:bottom w:val="none" w:sz="0" w:space="0" w:color="auto"/>
                                                                <w:right w:val="none" w:sz="0" w:space="0" w:color="auto"/>
                                                              </w:divBdr>
                                                              <w:divsChild>
                                                                <w:div w:id="1060589626">
                                                                  <w:marLeft w:val="272"/>
                                                                  <w:marRight w:val="272"/>
                                                                  <w:marTop w:val="0"/>
                                                                  <w:marBottom w:val="0"/>
                                                                  <w:divBdr>
                                                                    <w:top w:val="none" w:sz="0" w:space="0" w:color="auto"/>
                                                                    <w:left w:val="none" w:sz="0" w:space="0" w:color="auto"/>
                                                                    <w:bottom w:val="none" w:sz="0" w:space="0" w:color="auto"/>
                                                                    <w:right w:val="none" w:sz="0" w:space="0" w:color="auto"/>
                                                                  </w:divBdr>
                                                                  <w:divsChild>
                                                                    <w:div w:id="1504834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9300310">
      <w:bodyDiv w:val="1"/>
      <w:marLeft w:val="0"/>
      <w:marRight w:val="0"/>
      <w:marTop w:val="0"/>
      <w:marBottom w:val="0"/>
      <w:divBdr>
        <w:top w:val="none" w:sz="0" w:space="0" w:color="auto"/>
        <w:left w:val="none" w:sz="0" w:space="0" w:color="auto"/>
        <w:bottom w:val="none" w:sz="0" w:space="0" w:color="auto"/>
        <w:right w:val="none" w:sz="0" w:space="0" w:color="auto"/>
      </w:divBdr>
      <w:divsChild>
        <w:div w:id="1511413171">
          <w:marLeft w:val="0"/>
          <w:marRight w:val="0"/>
          <w:marTop w:val="0"/>
          <w:marBottom w:val="0"/>
          <w:divBdr>
            <w:top w:val="none" w:sz="0" w:space="0" w:color="auto"/>
            <w:left w:val="none" w:sz="0" w:space="0" w:color="auto"/>
            <w:bottom w:val="none" w:sz="0" w:space="0" w:color="auto"/>
            <w:right w:val="none" w:sz="0" w:space="0" w:color="auto"/>
          </w:divBdr>
          <w:divsChild>
            <w:div w:id="2030520788">
              <w:marLeft w:val="0"/>
              <w:marRight w:val="0"/>
              <w:marTop w:val="0"/>
              <w:marBottom w:val="0"/>
              <w:divBdr>
                <w:top w:val="none" w:sz="0" w:space="0" w:color="auto"/>
                <w:left w:val="none" w:sz="0" w:space="0" w:color="auto"/>
                <w:bottom w:val="none" w:sz="0" w:space="0" w:color="auto"/>
                <w:right w:val="none" w:sz="0" w:space="0" w:color="auto"/>
              </w:divBdr>
              <w:divsChild>
                <w:div w:id="317419871">
                  <w:marLeft w:val="0"/>
                  <w:marRight w:val="0"/>
                  <w:marTop w:val="0"/>
                  <w:marBottom w:val="0"/>
                  <w:divBdr>
                    <w:top w:val="none" w:sz="0" w:space="0" w:color="auto"/>
                    <w:left w:val="none" w:sz="0" w:space="0" w:color="auto"/>
                    <w:bottom w:val="none" w:sz="0" w:space="0" w:color="auto"/>
                    <w:right w:val="none" w:sz="0" w:space="0" w:color="auto"/>
                  </w:divBdr>
                  <w:divsChild>
                    <w:div w:id="558975142">
                      <w:marLeft w:val="0"/>
                      <w:marRight w:val="0"/>
                      <w:marTop w:val="0"/>
                      <w:marBottom w:val="0"/>
                      <w:divBdr>
                        <w:top w:val="none" w:sz="0" w:space="0" w:color="auto"/>
                        <w:left w:val="none" w:sz="0" w:space="0" w:color="auto"/>
                        <w:bottom w:val="none" w:sz="0" w:space="0" w:color="auto"/>
                        <w:right w:val="none" w:sz="0" w:space="0" w:color="auto"/>
                      </w:divBdr>
                      <w:divsChild>
                        <w:div w:id="1117333117">
                          <w:marLeft w:val="0"/>
                          <w:marRight w:val="0"/>
                          <w:marTop w:val="0"/>
                          <w:marBottom w:val="0"/>
                          <w:divBdr>
                            <w:top w:val="none" w:sz="0" w:space="0" w:color="auto"/>
                            <w:left w:val="none" w:sz="0" w:space="0" w:color="auto"/>
                            <w:bottom w:val="none" w:sz="0" w:space="0" w:color="auto"/>
                            <w:right w:val="none" w:sz="0" w:space="0" w:color="auto"/>
                          </w:divBdr>
                          <w:divsChild>
                            <w:div w:id="74253227">
                              <w:marLeft w:val="0"/>
                              <w:marRight w:val="0"/>
                              <w:marTop w:val="0"/>
                              <w:marBottom w:val="0"/>
                              <w:divBdr>
                                <w:top w:val="none" w:sz="0" w:space="0" w:color="auto"/>
                                <w:left w:val="none" w:sz="0" w:space="0" w:color="auto"/>
                                <w:bottom w:val="none" w:sz="0" w:space="0" w:color="auto"/>
                                <w:right w:val="none" w:sz="0" w:space="0" w:color="auto"/>
                              </w:divBdr>
                              <w:divsChild>
                                <w:div w:id="1024280851">
                                  <w:marLeft w:val="0"/>
                                  <w:marRight w:val="0"/>
                                  <w:marTop w:val="0"/>
                                  <w:marBottom w:val="0"/>
                                  <w:divBdr>
                                    <w:top w:val="none" w:sz="0" w:space="0" w:color="auto"/>
                                    <w:left w:val="none" w:sz="0" w:space="0" w:color="auto"/>
                                    <w:bottom w:val="none" w:sz="0" w:space="0" w:color="auto"/>
                                    <w:right w:val="none" w:sz="0" w:space="0" w:color="auto"/>
                                  </w:divBdr>
                                  <w:divsChild>
                                    <w:div w:id="4556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gov.au/Individuals/Dealing-with-disasters/In-detail/Donations/Making-tax-deductible-gifts-and-contributions/?anchor=spreadingtaxdeduc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homsonreuter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goa\AppData\Local\Temp\Temp1_MCLK%20templates%20to%20Thomson.zip\~%20Updated\ITRChecklis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335C4-06A5-459D-B532-A23B6988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ITRChecklist (2).dot</Template>
  <TotalTime>110</TotalTime>
  <Pages>1</Pages>
  <Words>4282</Words>
  <Characters>24412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Individual Tax Return Checklist</vt:lpstr>
    </vt:vector>
  </TitlesOfParts>
  <Company>Moore Stephens Melbourne</Company>
  <LinksUpToDate>false</LinksUpToDate>
  <CharactersWithSpaces>28637</CharactersWithSpaces>
  <SharedDoc>false</SharedDoc>
  <HLinks>
    <vt:vector size="12" baseType="variant">
      <vt:variant>
        <vt:i4>7078009</vt:i4>
      </vt:variant>
      <vt:variant>
        <vt:i4>288</vt:i4>
      </vt:variant>
      <vt:variant>
        <vt:i4>0</vt:i4>
      </vt:variant>
      <vt:variant>
        <vt:i4>5</vt:i4>
      </vt:variant>
      <vt:variant>
        <vt:lpwstr>https://www.ato.gov.au/Individuals/Dealing-with-disasters/In-detail/Donations/Making-tax-deductible-gifts-and-contributions/?anchor=spreadingtaxdeductions</vt:lpwstr>
      </vt:variant>
      <vt:variant>
        <vt:lpwstr>approvedform</vt:lpwstr>
      </vt:variant>
      <vt:variant>
        <vt:i4>5505092</vt:i4>
      </vt:variant>
      <vt:variant>
        <vt:i4>0</vt:i4>
      </vt:variant>
      <vt:variant>
        <vt:i4>0</vt:i4>
      </vt:variant>
      <vt:variant>
        <vt:i4>5</vt:i4>
      </vt:variant>
      <vt:variant>
        <vt:lpwstr>http://www.thomsonreuters.com.au/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Tax Return Checklist</dc:title>
  <dc:creator>Angela Sagoe-Crentsil</dc:creator>
  <cp:lastModifiedBy>User</cp:lastModifiedBy>
  <cp:revision>12</cp:revision>
  <cp:lastPrinted>2014-06-30T23:41:00Z</cp:lastPrinted>
  <dcterms:created xsi:type="dcterms:W3CDTF">2015-05-19T11:27:00Z</dcterms:created>
  <dcterms:modified xsi:type="dcterms:W3CDTF">2015-05-29T09:07:00Z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12757_Residential Rental Property Checklist</vt:lpwstr>
  </property>
  <property fmtid="{D5CDD505-2E9C-101B-9397-08002B2CF9AE}" pid="3" name="InsertFilenameField">
    <vt:lpwstr>False</vt:lpwstr>
  </property>
</Properties>
</file>