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7D05" w14:textId="77777777" w:rsidR="00380147" w:rsidRPr="00255E75" w:rsidRDefault="00211115" w:rsidP="000F4CF3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F7D60" wp14:editId="66CF7D61">
                <wp:simplePos x="0" y="0"/>
                <wp:positionH relativeFrom="margin">
                  <wp:posOffset>4986020</wp:posOffset>
                </wp:positionH>
                <wp:positionV relativeFrom="margin">
                  <wp:posOffset>-881404</wp:posOffset>
                </wp:positionV>
                <wp:extent cx="1742440" cy="5689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7D6B" w14:textId="77777777" w:rsidR="00380147" w:rsidRPr="00380147" w:rsidRDefault="003801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F7D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6pt;margin-top:-69.4pt;width:137.2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" filled="f" stroked="f">
                <v:textbox>
                  <w:txbxContent>
                    <w:p w14:paraId="66CF7D6B" w14:textId="77777777" w:rsidR="00380147" w:rsidRPr="00380147" w:rsidRDefault="003801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6CF7D06" w14:textId="77777777" w:rsidR="007D7ED7" w:rsidRDefault="007D7ED7" w:rsidP="000F4CF3">
      <w:pPr>
        <w:tabs>
          <w:tab w:val="left" w:pos="9072"/>
        </w:tabs>
        <w:spacing w:after="0"/>
        <w:ind w:right="95"/>
        <w:rPr>
          <w:rFonts w:ascii="Arial" w:hAnsi="Arial" w:cs="Arial"/>
          <w:b/>
          <w:color w:val="192A67"/>
          <w:sz w:val="24"/>
          <w:szCs w:val="24"/>
          <w:lang w:val="en-US"/>
        </w:rPr>
      </w:pPr>
    </w:p>
    <w:p w14:paraId="66CF7D07" w14:textId="77777777" w:rsidR="00380147" w:rsidRDefault="007F498D" w:rsidP="000F4CF3">
      <w:pPr>
        <w:tabs>
          <w:tab w:val="left" w:pos="9072"/>
        </w:tabs>
        <w:spacing w:after="0"/>
        <w:ind w:right="95"/>
        <w:rPr>
          <w:rFonts w:ascii="Arial" w:hAnsi="Arial" w:cs="Arial"/>
          <w:b/>
          <w:color w:val="192A67"/>
          <w:sz w:val="24"/>
          <w:szCs w:val="24"/>
          <w:lang w:val="en-US"/>
        </w:rPr>
      </w:pPr>
      <w:r>
        <w:rPr>
          <w:rFonts w:ascii="Arial" w:hAnsi="Arial" w:cs="Arial"/>
          <w:b/>
          <w:color w:val="192A67"/>
          <w:sz w:val="24"/>
          <w:szCs w:val="24"/>
          <w:lang w:val="en-US"/>
        </w:rPr>
        <w:t xml:space="preserve">Lien over </w:t>
      </w:r>
      <w:r w:rsidR="00ED474F">
        <w:rPr>
          <w:rFonts w:ascii="Arial" w:hAnsi="Arial" w:cs="Arial"/>
          <w:b/>
          <w:color w:val="192A67"/>
          <w:sz w:val="24"/>
          <w:szCs w:val="24"/>
          <w:lang w:val="en-US"/>
        </w:rPr>
        <w:t xml:space="preserve">Client </w:t>
      </w:r>
      <w:r>
        <w:rPr>
          <w:rFonts w:ascii="Arial" w:hAnsi="Arial" w:cs="Arial"/>
          <w:b/>
          <w:color w:val="192A67"/>
          <w:sz w:val="24"/>
          <w:szCs w:val="24"/>
          <w:lang w:val="en-US"/>
        </w:rPr>
        <w:t>Documents</w:t>
      </w:r>
    </w:p>
    <w:p w14:paraId="66CF7D08" w14:textId="77777777" w:rsidR="00F77244" w:rsidRPr="00380147" w:rsidRDefault="00F77244" w:rsidP="000F4CF3">
      <w:pPr>
        <w:tabs>
          <w:tab w:val="left" w:pos="9072"/>
        </w:tabs>
        <w:spacing w:after="0"/>
        <w:ind w:right="95"/>
        <w:rPr>
          <w:rFonts w:ascii="Arial" w:hAnsi="Arial" w:cs="Arial"/>
          <w:b/>
          <w:color w:val="192A67"/>
          <w:sz w:val="24"/>
          <w:szCs w:val="24"/>
        </w:rPr>
      </w:pPr>
    </w:p>
    <w:p w14:paraId="66CF7D09" w14:textId="77777777" w:rsidR="000F4CF3" w:rsidRDefault="000F4CF3" w:rsidP="000F4CF3">
      <w:pPr>
        <w:tabs>
          <w:tab w:val="left" w:pos="9072"/>
        </w:tabs>
        <w:spacing w:after="0"/>
        <w:ind w:right="95"/>
        <w:rPr>
          <w:rFonts w:ascii="Arial" w:hAnsi="Arial" w:cs="Arial"/>
          <w:b/>
          <w:color w:val="192A67"/>
          <w:sz w:val="20"/>
          <w:szCs w:val="20"/>
          <w:lang w:val="en-US"/>
        </w:rPr>
      </w:pPr>
    </w:p>
    <w:p w14:paraId="66CF7D0A" w14:textId="77777777" w:rsidR="007D7ED7" w:rsidRDefault="007D7ED7" w:rsidP="000F4CF3">
      <w:pPr>
        <w:tabs>
          <w:tab w:val="left" w:pos="9072"/>
        </w:tabs>
        <w:spacing w:after="0"/>
        <w:ind w:right="95"/>
        <w:rPr>
          <w:rFonts w:ascii="Arial" w:hAnsi="Arial" w:cs="Arial"/>
          <w:b/>
          <w:color w:val="192A67"/>
          <w:sz w:val="20"/>
          <w:szCs w:val="20"/>
          <w:lang w:val="en-US"/>
        </w:rPr>
      </w:pPr>
    </w:p>
    <w:p w14:paraId="66CF7D0B" w14:textId="77777777" w:rsidR="006F2D26" w:rsidRPr="006F2D26" w:rsidRDefault="007F498D" w:rsidP="000F4CF3">
      <w:pPr>
        <w:tabs>
          <w:tab w:val="left" w:pos="9072"/>
        </w:tabs>
        <w:spacing w:after="0"/>
        <w:ind w:right="95"/>
        <w:rPr>
          <w:rFonts w:ascii="Arial" w:hAnsi="Arial" w:cs="Arial"/>
          <w:b/>
          <w:color w:val="192A67"/>
          <w:sz w:val="20"/>
          <w:szCs w:val="20"/>
          <w:lang w:val="en-US"/>
        </w:rPr>
      </w:pPr>
      <w:r>
        <w:rPr>
          <w:rFonts w:ascii="Arial" w:hAnsi="Arial" w:cs="Arial"/>
          <w:b/>
          <w:color w:val="192A67"/>
          <w:sz w:val="20"/>
          <w:szCs w:val="20"/>
          <w:lang w:val="en-US"/>
        </w:rPr>
        <w:t>What is a lien?</w:t>
      </w:r>
    </w:p>
    <w:p w14:paraId="66CF7D0C" w14:textId="77777777" w:rsidR="006F2D26" w:rsidRDefault="006F2D26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0D" w14:textId="77777777" w:rsidR="00974E7B" w:rsidRDefault="000C098F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 xml:space="preserve">A lien </w:t>
      </w:r>
      <w:r w:rsidR="00C151EC">
        <w:rPr>
          <w:rFonts w:ascii="Arial" w:hAnsi="Arial" w:cs="Arial"/>
          <w:color w:val="192A67"/>
          <w:sz w:val="20"/>
          <w:szCs w:val="20"/>
          <w:lang w:val="en-US"/>
        </w:rPr>
        <w:t xml:space="preserve">is </w:t>
      </w:r>
      <w:r w:rsidRPr="000C098F">
        <w:rPr>
          <w:rFonts w:ascii="Arial" w:hAnsi="Arial" w:cs="Arial"/>
          <w:color w:val="192A67"/>
          <w:sz w:val="20"/>
          <w:szCs w:val="20"/>
        </w:rPr>
        <w:t xml:space="preserve">a right </w:t>
      </w:r>
      <w:r w:rsidR="004A0CBB">
        <w:rPr>
          <w:rFonts w:ascii="Arial" w:hAnsi="Arial" w:cs="Arial"/>
          <w:color w:val="192A67"/>
          <w:sz w:val="20"/>
          <w:szCs w:val="20"/>
        </w:rPr>
        <w:t xml:space="preserve">for a member </w:t>
      </w:r>
      <w:r w:rsidRPr="000C098F">
        <w:rPr>
          <w:rFonts w:ascii="Arial" w:hAnsi="Arial" w:cs="Arial"/>
          <w:color w:val="192A67"/>
          <w:sz w:val="20"/>
          <w:szCs w:val="20"/>
        </w:rPr>
        <w:t xml:space="preserve">to </w:t>
      </w:r>
      <w:r w:rsidR="001D20D8">
        <w:rPr>
          <w:rFonts w:ascii="Arial" w:hAnsi="Arial" w:cs="Arial"/>
          <w:color w:val="192A67"/>
          <w:sz w:val="20"/>
          <w:szCs w:val="20"/>
        </w:rPr>
        <w:t>retain</w:t>
      </w:r>
      <w:r w:rsidRPr="000C098F">
        <w:rPr>
          <w:rFonts w:ascii="Arial" w:hAnsi="Arial" w:cs="Arial"/>
          <w:color w:val="192A67"/>
          <w:sz w:val="20"/>
          <w:szCs w:val="20"/>
        </w:rPr>
        <w:t xml:space="preserve"> possession of </w:t>
      </w:r>
      <w:r w:rsidR="008D5074">
        <w:rPr>
          <w:rFonts w:ascii="Arial" w:hAnsi="Arial" w:cs="Arial"/>
          <w:color w:val="192A67"/>
          <w:sz w:val="20"/>
          <w:szCs w:val="20"/>
        </w:rPr>
        <w:t>a client</w:t>
      </w:r>
      <w:r w:rsidR="00F95936">
        <w:rPr>
          <w:rFonts w:ascii="Arial" w:hAnsi="Arial" w:cs="Arial"/>
          <w:color w:val="192A67"/>
          <w:sz w:val="20"/>
          <w:szCs w:val="20"/>
        </w:rPr>
        <w:t>’s</w:t>
      </w:r>
      <w:r w:rsidR="008D5074">
        <w:rPr>
          <w:rFonts w:ascii="Arial" w:hAnsi="Arial" w:cs="Arial"/>
          <w:color w:val="192A67"/>
          <w:sz w:val="20"/>
          <w:szCs w:val="20"/>
        </w:rPr>
        <w:t xml:space="preserve"> </w:t>
      </w:r>
      <w:r w:rsidRPr="000C098F">
        <w:rPr>
          <w:rFonts w:ascii="Arial" w:hAnsi="Arial" w:cs="Arial"/>
          <w:color w:val="192A67"/>
          <w:sz w:val="20"/>
          <w:szCs w:val="20"/>
        </w:rPr>
        <w:t xml:space="preserve">property until </w:t>
      </w:r>
      <w:r w:rsidR="004442F9">
        <w:rPr>
          <w:rFonts w:ascii="Arial" w:hAnsi="Arial" w:cs="Arial"/>
          <w:color w:val="192A67"/>
          <w:sz w:val="20"/>
          <w:szCs w:val="20"/>
        </w:rPr>
        <w:t>the</w:t>
      </w:r>
      <w:r w:rsidRPr="000C098F">
        <w:rPr>
          <w:rFonts w:ascii="Arial" w:hAnsi="Arial" w:cs="Arial"/>
          <w:color w:val="192A67"/>
          <w:sz w:val="20"/>
          <w:szCs w:val="20"/>
        </w:rPr>
        <w:t xml:space="preserve"> </w:t>
      </w:r>
      <w:r w:rsidR="004A0CBB">
        <w:rPr>
          <w:rFonts w:ascii="Arial" w:hAnsi="Arial" w:cs="Arial"/>
          <w:color w:val="192A67"/>
          <w:sz w:val="20"/>
          <w:szCs w:val="20"/>
        </w:rPr>
        <w:t xml:space="preserve">client repays the </w:t>
      </w:r>
      <w:r w:rsidR="008D5074">
        <w:rPr>
          <w:rFonts w:ascii="Arial" w:hAnsi="Arial" w:cs="Arial"/>
          <w:color w:val="192A67"/>
          <w:sz w:val="20"/>
          <w:szCs w:val="20"/>
        </w:rPr>
        <w:t>amount owing</w:t>
      </w:r>
      <w:r w:rsidR="004A0CBB">
        <w:rPr>
          <w:rFonts w:ascii="Arial" w:hAnsi="Arial" w:cs="Arial"/>
          <w:color w:val="192A67"/>
          <w:sz w:val="20"/>
          <w:szCs w:val="20"/>
        </w:rPr>
        <w:t xml:space="preserve"> to the member</w:t>
      </w:r>
      <w:r w:rsidR="00974E7B">
        <w:rPr>
          <w:rFonts w:ascii="Arial" w:hAnsi="Arial" w:cs="Arial"/>
          <w:color w:val="192A67"/>
          <w:sz w:val="20"/>
          <w:szCs w:val="20"/>
          <w:lang w:val="en-US"/>
        </w:rPr>
        <w:t>.</w:t>
      </w:r>
    </w:p>
    <w:p w14:paraId="66CF7D0E" w14:textId="77777777" w:rsidR="00F0152A" w:rsidRDefault="00F0152A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0F" w14:textId="77777777" w:rsidR="00F0152A" w:rsidRDefault="008D5074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>A lien maybe considered</w:t>
      </w:r>
      <w:r w:rsidR="00F95936">
        <w:rPr>
          <w:rFonts w:ascii="Arial" w:hAnsi="Arial" w:cs="Arial"/>
          <w:color w:val="192A67"/>
          <w:sz w:val="20"/>
          <w:szCs w:val="20"/>
          <w:lang w:val="en-US"/>
        </w:rPr>
        <w:t xml:space="preserve"> part of</w:t>
      </w:r>
      <w:r w:rsidR="00AC4CEB">
        <w:rPr>
          <w:rFonts w:ascii="Arial" w:hAnsi="Arial" w:cs="Arial"/>
          <w:color w:val="192A67"/>
          <w:sz w:val="20"/>
          <w:szCs w:val="20"/>
          <w:lang w:val="en-US"/>
        </w:rPr>
        <w:t xml:space="preserve"> </w:t>
      </w:r>
      <w:r w:rsidR="0013549D">
        <w:rPr>
          <w:rFonts w:ascii="Arial" w:hAnsi="Arial" w:cs="Arial"/>
          <w:color w:val="192A67"/>
          <w:sz w:val="20"/>
          <w:szCs w:val="20"/>
          <w:lang w:val="en-US"/>
        </w:rPr>
        <w:t>normal business practice</w:t>
      </w:r>
      <w:r w:rsidR="00F0152A">
        <w:rPr>
          <w:rFonts w:ascii="Arial" w:hAnsi="Arial" w:cs="Arial"/>
          <w:color w:val="192A67"/>
          <w:sz w:val="20"/>
          <w:szCs w:val="20"/>
          <w:lang w:val="en-US"/>
        </w:rPr>
        <w:t xml:space="preserve">, </w:t>
      </w:r>
      <w:r w:rsidR="00ED474F">
        <w:rPr>
          <w:rFonts w:ascii="Arial" w:hAnsi="Arial" w:cs="Arial"/>
          <w:color w:val="192A67"/>
          <w:sz w:val="20"/>
          <w:szCs w:val="20"/>
          <w:lang w:val="en-US"/>
        </w:rPr>
        <w:t xml:space="preserve">but </w:t>
      </w:r>
      <w:r w:rsidR="007D3370">
        <w:rPr>
          <w:rFonts w:ascii="Arial" w:hAnsi="Arial" w:cs="Arial"/>
          <w:color w:val="192A67"/>
          <w:sz w:val="20"/>
          <w:szCs w:val="20"/>
          <w:lang w:val="en-US"/>
        </w:rPr>
        <w:t xml:space="preserve">for </w:t>
      </w:r>
      <w:r>
        <w:rPr>
          <w:rFonts w:ascii="Arial" w:hAnsi="Arial" w:cs="Arial"/>
          <w:color w:val="192A67"/>
          <w:sz w:val="20"/>
          <w:szCs w:val="20"/>
          <w:lang w:val="en-US"/>
        </w:rPr>
        <w:t>a lien</w:t>
      </w:r>
      <w:r w:rsidR="007D3370">
        <w:rPr>
          <w:rFonts w:ascii="Arial" w:hAnsi="Arial" w:cs="Arial"/>
          <w:color w:val="192A67"/>
          <w:sz w:val="20"/>
          <w:szCs w:val="20"/>
          <w:lang w:val="en-US"/>
        </w:rPr>
        <w:t xml:space="preserve"> to be effective</w:t>
      </w:r>
      <w:r w:rsidR="007127A2">
        <w:rPr>
          <w:rFonts w:ascii="Arial" w:hAnsi="Arial" w:cs="Arial"/>
          <w:color w:val="192A67"/>
          <w:sz w:val="20"/>
          <w:szCs w:val="20"/>
          <w:lang w:val="en-US"/>
        </w:rPr>
        <w:t>,</w:t>
      </w:r>
      <w:r w:rsidR="007D3370">
        <w:rPr>
          <w:rFonts w:ascii="Arial" w:hAnsi="Arial" w:cs="Arial"/>
          <w:color w:val="192A67"/>
          <w:sz w:val="20"/>
          <w:szCs w:val="20"/>
          <w:lang w:val="en-US"/>
        </w:rPr>
        <w:t xml:space="preserve"> </w:t>
      </w:r>
      <w:r w:rsidR="00F0152A">
        <w:rPr>
          <w:rFonts w:ascii="Arial" w:hAnsi="Arial" w:cs="Arial"/>
          <w:color w:val="192A67"/>
          <w:sz w:val="20"/>
          <w:szCs w:val="20"/>
          <w:lang w:val="en-US"/>
        </w:rPr>
        <w:t xml:space="preserve">there </w:t>
      </w:r>
      <w:r w:rsidR="0049062D">
        <w:rPr>
          <w:rFonts w:ascii="Arial" w:hAnsi="Arial" w:cs="Arial"/>
          <w:color w:val="192A67"/>
          <w:sz w:val="20"/>
          <w:szCs w:val="20"/>
          <w:lang w:val="en-US"/>
        </w:rPr>
        <w:t>are</w:t>
      </w:r>
      <w:r w:rsidR="00F0152A">
        <w:rPr>
          <w:rFonts w:ascii="Arial" w:hAnsi="Arial" w:cs="Arial"/>
          <w:color w:val="192A67"/>
          <w:sz w:val="20"/>
          <w:szCs w:val="20"/>
          <w:lang w:val="en-US"/>
        </w:rPr>
        <w:t xml:space="preserve"> certain criteria </w:t>
      </w:r>
      <w:r w:rsidR="00DB5B61">
        <w:rPr>
          <w:rFonts w:ascii="Arial" w:hAnsi="Arial" w:cs="Arial"/>
          <w:color w:val="192A67"/>
          <w:sz w:val="20"/>
          <w:szCs w:val="20"/>
          <w:lang w:val="en-US"/>
        </w:rPr>
        <w:t xml:space="preserve">that </w:t>
      </w:r>
      <w:r w:rsidR="00BD4CF2">
        <w:rPr>
          <w:rFonts w:ascii="Arial" w:hAnsi="Arial" w:cs="Arial"/>
          <w:color w:val="192A67"/>
          <w:sz w:val="20"/>
          <w:szCs w:val="20"/>
          <w:lang w:val="en-US"/>
        </w:rPr>
        <w:t>must</w:t>
      </w:r>
      <w:r w:rsidR="00ED474F">
        <w:rPr>
          <w:rFonts w:ascii="Arial" w:hAnsi="Arial" w:cs="Arial"/>
          <w:color w:val="192A67"/>
          <w:sz w:val="20"/>
          <w:szCs w:val="20"/>
          <w:lang w:val="en-US"/>
        </w:rPr>
        <w:t xml:space="preserve"> </w:t>
      </w:r>
      <w:r w:rsidR="00F0152A">
        <w:rPr>
          <w:rFonts w:ascii="Arial" w:hAnsi="Arial" w:cs="Arial"/>
          <w:color w:val="192A67"/>
          <w:sz w:val="20"/>
          <w:szCs w:val="20"/>
          <w:lang w:val="en-US"/>
        </w:rPr>
        <w:t xml:space="preserve">be </w:t>
      </w:r>
      <w:r w:rsidR="0049062D">
        <w:rPr>
          <w:rFonts w:ascii="Arial" w:hAnsi="Arial" w:cs="Arial"/>
          <w:color w:val="192A67"/>
          <w:sz w:val="20"/>
          <w:szCs w:val="20"/>
          <w:lang w:val="en-US"/>
        </w:rPr>
        <w:t>satisfied</w:t>
      </w:r>
      <w:r w:rsidR="00F0152A">
        <w:rPr>
          <w:rFonts w:ascii="Arial" w:hAnsi="Arial" w:cs="Arial"/>
          <w:color w:val="192A67"/>
          <w:sz w:val="20"/>
          <w:szCs w:val="20"/>
          <w:lang w:val="en-US"/>
        </w:rPr>
        <w:t>.</w:t>
      </w:r>
    </w:p>
    <w:p w14:paraId="66CF7D10" w14:textId="77777777" w:rsidR="008D02ED" w:rsidRDefault="008D02ED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11" w14:textId="77777777" w:rsidR="008D02ED" w:rsidRDefault="008D02ED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12" w14:textId="77777777" w:rsidR="008D02ED" w:rsidRPr="006F2D26" w:rsidRDefault="008D02ED" w:rsidP="000F4CF3">
      <w:pPr>
        <w:tabs>
          <w:tab w:val="left" w:pos="9072"/>
        </w:tabs>
        <w:spacing w:after="0"/>
        <w:ind w:right="95"/>
        <w:rPr>
          <w:rFonts w:ascii="Arial" w:hAnsi="Arial" w:cs="Arial"/>
          <w:b/>
          <w:color w:val="192A67"/>
          <w:sz w:val="20"/>
          <w:szCs w:val="20"/>
          <w:lang w:val="en-US"/>
        </w:rPr>
      </w:pPr>
      <w:r>
        <w:rPr>
          <w:rFonts w:ascii="Arial" w:hAnsi="Arial" w:cs="Arial"/>
          <w:b/>
          <w:color w:val="192A67"/>
          <w:sz w:val="20"/>
          <w:szCs w:val="20"/>
          <w:lang w:val="en-US"/>
        </w:rPr>
        <w:t>Member Compliance Requirements</w:t>
      </w:r>
    </w:p>
    <w:p w14:paraId="66CF7D13" w14:textId="77777777" w:rsidR="008D02ED" w:rsidRDefault="008D02ED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14" w14:textId="77777777" w:rsidR="00CA42D5" w:rsidRDefault="008D02ED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 xml:space="preserve">The IPA </w:t>
      </w:r>
      <w:r w:rsidR="00A450A8">
        <w:rPr>
          <w:rFonts w:ascii="Arial" w:hAnsi="Arial" w:cs="Arial"/>
          <w:color w:val="192A67"/>
          <w:sz w:val="20"/>
          <w:szCs w:val="20"/>
          <w:lang w:val="en-US"/>
        </w:rPr>
        <w:t xml:space="preserve">request members comply with </w:t>
      </w:r>
      <w:r>
        <w:rPr>
          <w:rFonts w:ascii="Arial" w:hAnsi="Arial" w:cs="Arial"/>
          <w:color w:val="192A67"/>
          <w:sz w:val="20"/>
          <w:szCs w:val="20"/>
          <w:lang w:val="en-US"/>
        </w:rPr>
        <w:t>the Accounting Professional &amp; Ethical Standards Board (“</w:t>
      </w:r>
      <w:r w:rsidRPr="008D02ED">
        <w:rPr>
          <w:rFonts w:ascii="Arial" w:hAnsi="Arial" w:cs="Arial"/>
          <w:b/>
          <w:color w:val="192A67"/>
          <w:sz w:val="20"/>
          <w:szCs w:val="20"/>
          <w:lang w:val="en-US"/>
        </w:rPr>
        <w:t>APESB</w:t>
      </w:r>
      <w:r>
        <w:rPr>
          <w:rFonts w:ascii="Arial" w:hAnsi="Arial" w:cs="Arial"/>
          <w:color w:val="192A67"/>
          <w:sz w:val="20"/>
          <w:szCs w:val="20"/>
          <w:lang w:val="en-US"/>
        </w:rPr>
        <w:t xml:space="preserve">”) </w:t>
      </w:r>
      <w:r w:rsidR="0049062D">
        <w:rPr>
          <w:rFonts w:ascii="Arial" w:hAnsi="Arial" w:cs="Arial"/>
          <w:color w:val="192A67"/>
          <w:sz w:val="20"/>
          <w:szCs w:val="20"/>
          <w:lang w:val="en-US"/>
        </w:rPr>
        <w:t>standards</w:t>
      </w:r>
      <w:r w:rsidR="00CA42D5">
        <w:rPr>
          <w:rFonts w:ascii="Arial" w:hAnsi="Arial" w:cs="Arial"/>
          <w:color w:val="192A67"/>
          <w:sz w:val="20"/>
          <w:szCs w:val="20"/>
          <w:lang w:val="en-US"/>
        </w:rPr>
        <w:t xml:space="preserve"> </w:t>
      </w:r>
      <w:r w:rsidR="00A450A8">
        <w:rPr>
          <w:rFonts w:ascii="Arial" w:hAnsi="Arial" w:cs="Arial"/>
          <w:color w:val="192A67"/>
          <w:sz w:val="20"/>
          <w:szCs w:val="20"/>
          <w:lang w:val="en-US"/>
        </w:rPr>
        <w:t>and the Tax Practitioner Board (“</w:t>
      </w:r>
      <w:r w:rsidR="00A450A8" w:rsidRPr="008D02ED">
        <w:rPr>
          <w:rFonts w:ascii="Arial" w:hAnsi="Arial" w:cs="Arial"/>
          <w:b/>
          <w:color w:val="192A67"/>
          <w:sz w:val="20"/>
          <w:szCs w:val="20"/>
          <w:lang w:val="en-US"/>
        </w:rPr>
        <w:t>TPB</w:t>
      </w:r>
      <w:r w:rsidR="00A450A8">
        <w:rPr>
          <w:rFonts w:ascii="Arial" w:hAnsi="Arial" w:cs="Arial"/>
          <w:color w:val="192A67"/>
          <w:sz w:val="20"/>
          <w:szCs w:val="20"/>
          <w:lang w:val="en-US"/>
        </w:rPr>
        <w:t xml:space="preserve">”) requirements </w:t>
      </w:r>
      <w:r w:rsidR="00CA42D5">
        <w:rPr>
          <w:rFonts w:ascii="Arial" w:hAnsi="Arial" w:cs="Arial"/>
          <w:color w:val="192A67"/>
          <w:sz w:val="20"/>
          <w:szCs w:val="20"/>
          <w:lang w:val="en-US"/>
        </w:rPr>
        <w:t xml:space="preserve">in relation </w:t>
      </w:r>
      <w:r w:rsidR="00C151EC">
        <w:rPr>
          <w:rFonts w:ascii="Arial" w:hAnsi="Arial" w:cs="Arial"/>
          <w:color w:val="192A67"/>
          <w:sz w:val="20"/>
          <w:szCs w:val="20"/>
          <w:lang w:val="en-US"/>
        </w:rPr>
        <w:t xml:space="preserve">to </w:t>
      </w:r>
      <w:r w:rsidR="00CA42D5">
        <w:rPr>
          <w:rFonts w:ascii="Arial" w:hAnsi="Arial" w:cs="Arial"/>
          <w:color w:val="192A67"/>
          <w:sz w:val="20"/>
          <w:szCs w:val="20"/>
          <w:lang w:val="en-US"/>
        </w:rPr>
        <w:t>claim</w:t>
      </w:r>
      <w:r w:rsidR="0049062D">
        <w:rPr>
          <w:rFonts w:ascii="Arial" w:hAnsi="Arial" w:cs="Arial"/>
          <w:color w:val="192A67"/>
          <w:sz w:val="20"/>
          <w:szCs w:val="20"/>
          <w:lang w:val="en-US"/>
        </w:rPr>
        <w:t>ing</w:t>
      </w:r>
      <w:r w:rsidR="00CA42D5">
        <w:rPr>
          <w:rFonts w:ascii="Arial" w:hAnsi="Arial" w:cs="Arial"/>
          <w:color w:val="192A67"/>
          <w:sz w:val="20"/>
          <w:szCs w:val="20"/>
          <w:lang w:val="en-US"/>
        </w:rPr>
        <w:t xml:space="preserve"> a lien over client property.  Also included in the APESB </w:t>
      </w:r>
      <w:r w:rsidR="0049062D">
        <w:rPr>
          <w:rFonts w:ascii="Arial" w:hAnsi="Arial" w:cs="Arial"/>
          <w:color w:val="192A67"/>
          <w:sz w:val="20"/>
          <w:szCs w:val="20"/>
          <w:lang w:val="en-US"/>
        </w:rPr>
        <w:t xml:space="preserve">standards </w:t>
      </w:r>
      <w:r w:rsidR="002D7EEB">
        <w:rPr>
          <w:rFonts w:ascii="Arial" w:hAnsi="Arial" w:cs="Arial"/>
          <w:color w:val="192A67"/>
          <w:sz w:val="20"/>
          <w:szCs w:val="20"/>
          <w:lang w:val="en-US"/>
        </w:rPr>
        <w:t xml:space="preserve">and TPB </w:t>
      </w:r>
      <w:r w:rsidR="00CA42D5">
        <w:rPr>
          <w:rFonts w:ascii="Arial" w:hAnsi="Arial" w:cs="Arial"/>
          <w:color w:val="192A67"/>
          <w:sz w:val="20"/>
          <w:szCs w:val="20"/>
          <w:lang w:val="en-US"/>
        </w:rPr>
        <w:t xml:space="preserve">requirements is </w:t>
      </w:r>
      <w:r w:rsidR="0049062D">
        <w:rPr>
          <w:rFonts w:ascii="Arial" w:hAnsi="Arial" w:cs="Arial"/>
          <w:color w:val="192A67"/>
          <w:sz w:val="20"/>
          <w:szCs w:val="20"/>
          <w:lang w:val="en-US"/>
        </w:rPr>
        <w:t>guidance</w:t>
      </w:r>
      <w:r w:rsidR="00CA42D5">
        <w:rPr>
          <w:rFonts w:ascii="Arial" w:hAnsi="Arial" w:cs="Arial"/>
          <w:color w:val="192A67"/>
          <w:sz w:val="20"/>
          <w:szCs w:val="20"/>
          <w:lang w:val="en-US"/>
        </w:rPr>
        <w:t xml:space="preserve"> around document ownership</w:t>
      </w:r>
      <w:r w:rsidR="00AE677B">
        <w:rPr>
          <w:rFonts w:ascii="Arial" w:hAnsi="Arial" w:cs="Arial"/>
          <w:color w:val="192A67"/>
          <w:sz w:val="20"/>
          <w:szCs w:val="20"/>
          <w:lang w:val="en-US"/>
        </w:rPr>
        <w:t>,</w:t>
      </w:r>
      <w:r w:rsidR="002D7EEB">
        <w:rPr>
          <w:rFonts w:ascii="Arial" w:hAnsi="Arial" w:cs="Arial"/>
          <w:color w:val="192A67"/>
          <w:sz w:val="20"/>
          <w:szCs w:val="20"/>
          <w:lang w:val="en-US"/>
        </w:rPr>
        <w:t xml:space="preserve"> which is </w:t>
      </w:r>
      <w:r w:rsidR="00AE677B">
        <w:rPr>
          <w:rFonts w:ascii="Arial" w:hAnsi="Arial" w:cs="Arial"/>
          <w:color w:val="192A67"/>
          <w:sz w:val="20"/>
          <w:szCs w:val="20"/>
          <w:lang w:val="en-US"/>
        </w:rPr>
        <w:t>connected</w:t>
      </w:r>
      <w:r w:rsidR="002D7EEB">
        <w:rPr>
          <w:rFonts w:ascii="Arial" w:hAnsi="Arial" w:cs="Arial"/>
          <w:color w:val="192A67"/>
          <w:sz w:val="20"/>
          <w:szCs w:val="20"/>
          <w:lang w:val="en-US"/>
        </w:rPr>
        <w:t xml:space="preserve"> to claiming a lien over client property.</w:t>
      </w:r>
    </w:p>
    <w:p w14:paraId="66CF7D15" w14:textId="77777777" w:rsidR="00CA42D5" w:rsidRDefault="00CA42D5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16" w14:textId="77777777" w:rsidR="00CA42D5" w:rsidRDefault="0055754D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>Both t</w:t>
      </w:r>
      <w:r w:rsidR="00A450A8">
        <w:rPr>
          <w:rFonts w:ascii="Arial" w:hAnsi="Arial" w:cs="Arial"/>
          <w:color w:val="192A67"/>
          <w:sz w:val="20"/>
          <w:szCs w:val="20"/>
          <w:lang w:val="en-US"/>
        </w:rPr>
        <w:t xml:space="preserve">he APESB </w:t>
      </w:r>
      <w:r>
        <w:rPr>
          <w:rFonts w:ascii="Arial" w:hAnsi="Arial" w:cs="Arial"/>
          <w:color w:val="192A67"/>
          <w:sz w:val="20"/>
          <w:szCs w:val="20"/>
          <w:lang w:val="en-US"/>
        </w:rPr>
        <w:t xml:space="preserve">and TPB </w:t>
      </w:r>
      <w:r w:rsidR="00A450A8">
        <w:rPr>
          <w:rFonts w:ascii="Arial" w:hAnsi="Arial" w:cs="Arial"/>
          <w:color w:val="192A67"/>
          <w:sz w:val="20"/>
          <w:szCs w:val="20"/>
          <w:lang w:val="en-US"/>
        </w:rPr>
        <w:t xml:space="preserve">require that </w:t>
      </w:r>
      <w:r w:rsidR="00CA42D5">
        <w:rPr>
          <w:rFonts w:ascii="Arial" w:hAnsi="Arial" w:cs="Arial"/>
          <w:color w:val="192A67"/>
          <w:sz w:val="20"/>
          <w:szCs w:val="20"/>
          <w:lang w:val="en-US"/>
        </w:rPr>
        <w:t xml:space="preserve">a client lien and document ownership </w:t>
      </w:r>
      <w:r w:rsidR="0049062D">
        <w:rPr>
          <w:rFonts w:ascii="Arial" w:hAnsi="Arial" w:cs="Arial"/>
          <w:color w:val="192A67"/>
          <w:sz w:val="20"/>
          <w:szCs w:val="20"/>
          <w:lang w:val="en-US"/>
        </w:rPr>
        <w:t>arrangements</w:t>
      </w:r>
      <w:r w:rsidR="00A450A8">
        <w:rPr>
          <w:rFonts w:ascii="Arial" w:hAnsi="Arial" w:cs="Arial"/>
          <w:color w:val="192A67"/>
          <w:sz w:val="20"/>
          <w:szCs w:val="20"/>
          <w:lang w:val="en-US"/>
        </w:rPr>
        <w:t xml:space="preserve"> are</w:t>
      </w:r>
      <w:r w:rsidR="00CA42D5">
        <w:rPr>
          <w:rFonts w:ascii="Arial" w:hAnsi="Arial" w:cs="Arial"/>
          <w:color w:val="192A67"/>
          <w:sz w:val="20"/>
          <w:szCs w:val="20"/>
          <w:lang w:val="en-US"/>
        </w:rPr>
        <w:t xml:space="preserve"> </w:t>
      </w:r>
      <w:r w:rsidR="002360FD">
        <w:rPr>
          <w:rFonts w:ascii="Arial" w:hAnsi="Arial" w:cs="Arial"/>
          <w:color w:val="192A67"/>
          <w:sz w:val="20"/>
          <w:szCs w:val="20"/>
          <w:lang w:val="en-US"/>
        </w:rPr>
        <w:t xml:space="preserve">agreed to in advance </w:t>
      </w:r>
      <w:r w:rsidR="00AE677B">
        <w:rPr>
          <w:rFonts w:ascii="Arial" w:hAnsi="Arial" w:cs="Arial"/>
          <w:color w:val="192A67"/>
          <w:sz w:val="20"/>
          <w:szCs w:val="20"/>
          <w:lang w:val="en-US"/>
        </w:rPr>
        <w:t xml:space="preserve">of the appointment </w:t>
      </w:r>
      <w:r w:rsidR="0049062D">
        <w:rPr>
          <w:rFonts w:ascii="Arial" w:hAnsi="Arial" w:cs="Arial"/>
          <w:color w:val="192A67"/>
          <w:sz w:val="20"/>
          <w:szCs w:val="20"/>
          <w:lang w:val="en-US"/>
        </w:rPr>
        <w:t xml:space="preserve">and </w:t>
      </w:r>
      <w:r w:rsidR="00AE677B">
        <w:rPr>
          <w:rFonts w:ascii="Arial" w:hAnsi="Arial" w:cs="Arial"/>
          <w:color w:val="192A67"/>
          <w:sz w:val="20"/>
          <w:szCs w:val="20"/>
          <w:lang w:val="en-US"/>
        </w:rPr>
        <w:t xml:space="preserve">formally </w:t>
      </w:r>
      <w:r w:rsidR="0049062D">
        <w:rPr>
          <w:rFonts w:ascii="Arial" w:hAnsi="Arial" w:cs="Arial"/>
          <w:color w:val="192A67"/>
          <w:sz w:val="20"/>
          <w:szCs w:val="20"/>
          <w:lang w:val="en-US"/>
        </w:rPr>
        <w:t xml:space="preserve">documented in </w:t>
      </w:r>
      <w:r w:rsidR="00AE677B">
        <w:rPr>
          <w:rFonts w:ascii="Arial" w:hAnsi="Arial" w:cs="Arial"/>
          <w:color w:val="192A67"/>
          <w:sz w:val="20"/>
          <w:szCs w:val="20"/>
          <w:lang w:val="en-US"/>
        </w:rPr>
        <w:t>a</w:t>
      </w:r>
      <w:r w:rsidR="00CA42D5">
        <w:rPr>
          <w:rFonts w:ascii="Arial" w:hAnsi="Arial" w:cs="Arial"/>
          <w:color w:val="192A67"/>
          <w:sz w:val="20"/>
          <w:szCs w:val="20"/>
          <w:lang w:val="en-US"/>
        </w:rPr>
        <w:t xml:space="preserve"> client Engagement </w:t>
      </w:r>
      <w:r w:rsidR="00551795">
        <w:rPr>
          <w:rFonts w:ascii="Arial" w:hAnsi="Arial" w:cs="Arial"/>
          <w:color w:val="192A67"/>
          <w:sz w:val="20"/>
          <w:szCs w:val="20"/>
          <w:lang w:val="en-US"/>
        </w:rPr>
        <w:t>Document</w:t>
      </w:r>
      <w:r w:rsidR="00CA42D5">
        <w:rPr>
          <w:rFonts w:ascii="Arial" w:hAnsi="Arial" w:cs="Arial"/>
          <w:color w:val="192A67"/>
          <w:sz w:val="20"/>
          <w:szCs w:val="20"/>
          <w:lang w:val="en-US"/>
        </w:rPr>
        <w:t>.</w:t>
      </w:r>
    </w:p>
    <w:p w14:paraId="66CF7D17" w14:textId="77777777" w:rsidR="00A450A8" w:rsidRPr="0055754D" w:rsidRDefault="00A450A8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18" w14:textId="77777777" w:rsidR="00A450A8" w:rsidRDefault="00A450A8" w:rsidP="000F4CF3">
      <w:pPr>
        <w:tabs>
          <w:tab w:val="left" w:pos="9072"/>
        </w:tabs>
        <w:spacing w:after="0"/>
        <w:ind w:right="95"/>
        <w:rPr>
          <w:rFonts w:ascii="Arial" w:hAnsi="Arial" w:cs="Arial"/>
          <w:b/>
          <w:color w:val="192A67"/>
          <w:sz w:val="20"/>
          <w:szCs w:val="20"/>
          <w:lang w:val="en-US"/>
        </w:rPr>
      </w:pPr>
    </w:p>
    <w:p w14:paraId="66CF7D19" w14:textId="77777777" w:rsidR="00CA42D5" w:rsidRPr="006F2D26" w:rsidRDefault="00CA42D5" w:rsidP="000F4CF3">
      <w:pPr>
        <w:tabs>
          <w:tab w:val="left" w:pos="9072"/>
        </w:tabs>
        <w:spacing w:after="0"/>
        <w:ind w:right="95"/>
        <w:rPr>
          <w:rFonts w:ascii="Arial" w:hAnsi="Arial" w:cs="Arial"/>
          <w:b/>
          <w:color w:val="192A67"/>
          <w:sz w:val="20"/>
          <w:szCs w:val="20"/>
          <w:lang w:val="en-US"/>
        </w:rPr>
      </w:pPr>
      <w:r>
        <w:rPr>
          <w:rFonts w:ascii="Arial" w:hAnsi="Arial" w:cs="Arial"/>
          <w:b/>
          <w:color w:val="192A67"/>
          <w:sz w:val="20"/>
          <w:szCs w:val="20"/>
          <w:lang w:val="en-US"/>
        </w:rPr>
        <w:t>Terms of Engagement</w:t>
      </w:r>
    </w:p>
    <w:p w14:paraId="66CF7D1A" w14:textId="77777777" w:rsidR="00CA42D5" w:rsidRDefault="00CA42D5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1B" w14:textId="77777777" w:rsidR="00CA42D5" w:rsidRDefault="00CA42D5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 xml:space="preserve">A client Engagement </w:t>
      </w:r>
      <w:r w:rsidR="00551795">
        <w:rPr>
          <w:rFonts w:ascii="Arial" w:hAnsi="Arial" w:cs="Arial"/>
          <w:color w:val="192A67"/>
          <w:sz w:val="20"/>
          <w:szCs w:val="20"/>
          <w:lang w:val="en-US"/>
        </w:rPr>
        <w:t>Document</w:t>
      </w:r>
      <w:r>
        <w:rPr>
          <w:rFonts w:ascii="Arial" w:hAnsi="Arial" w:cs="Arial"/>
          <w:color w:val="192A67"/>
          <w:sz w:val="20"/>
          <w:szCs w:val="20"/>
          <w:lang w:val="en-US"/>
        </w:rPr>
        <w:t xml:space="preserve"> should specify the contract terms agreed </w:t>
      </w:r>
      <w:r w:rsidR="00AE677B">
        <w:rPr>
          <w:rFonts w:ascii="Arial" w:hAnsi="Arial" w:cs="Arial"/>
          <w:color w:val="192A67"/>
          <w:sz w:val="20"/>
          <w:szCs w:val="20"/>
          <w:lang w:val="en-US"/>
        </w:rPr>
        <w:t xml:space="preserve">to </w:t>
      </w:r>
      <w:r>
        <w:rPr>
          <w:rFonts w:ascii="Arial" w:hAnsi="Arial" w:cs="Arial"/>
          <w:color w:val="192A67"/>
          <w:sz w:val="20"/>
          <w:szCs w:val="20"/>
          <w:lang w:val="en-US"/>
        </w:rPr>
        <w:t xml:space="preserve">between you and </w:t>
      </w:r>
      <w:r w:rsidR="00AE677B">
        <w:rPr>
          <w:rFonts w:ascii="Arial" w:hAnsi="Arial" w:cs="Arial"/>
          <w:color w:val="192A67"/>
          <w:sz w:val="20"/>
          <w:szCs w:val="20"/>
          <w:lang w:val="en-US"/>
        </w:rPr>
        <w:t>your</w:t>
      </w:r>
      <w:r>
        <w:rPr>
          <w:rFonts w:ascii="Arial" w:hAnsi="Arial" w:cs="Arial"/>
          <w:color w:val="192A67"/>
          <w:sz w:val="20"/>
          <w:szCs w:val="20"/>
          <w:lang w:val="en-US"/>
        </w:rPr>
        <w:t xml:space="preserve"> client.  Part of those contract terms should address the way a lien is exercised in the event that a client does not settle their debts</w:t>
      </w:r>
      <w:r w:rsidR="0055754D">
        <w:rPr>
          <w:rFonts w:ascii="Arial" w:hAnsi="Arial" w:cs="Arial"/>
          <w:color w:val="192A67"/>
          <w:sz w:val="20"/>
          <w:szCs w:val="20"/>
          <w:lang w:val="en-US"/>
        </w:rPr>
        <w:t xml:space="preserve"> with you</w:t>
      </w:r>
      <w:r w:rsidR="00AE677B">
        <w:rPr>
          <w:rFonts w:ascii="Arial" w:hAnsi="Arial" w:cs="Arial"/>
          <w:color w:val="192A67"/>
          <w:sz w:val="20"/>
          <w:szCs w:val="20"/>
          <w:lang w:val="en-US"/>
        </w:rPr>
        <w:t>.  Also documented are arrangements</w:t>
      </w:r>
      <w:r w:rsidR="0055754D">
        <w:rPr>
          <w:rFonts w:ascii="Arial" w:hAnsi="Arial" w:cs="Arial"/>
          <w:color w:val="192A67"/>
          <w:sz w:val="20"/>
          <w:szCs w:val="20"/>
          <w:lang w:val="en-US"/>
        </w:rPr>
        <w:t xml:space="preserve"> </w:t>
      </w:r>
      <w:r w:rsidR="00AE677B">
        <w:rPr>
          <w:rFonts w:ascii="Arial" w:hAnsi="Arial" w:cs="Arial"/>
          <w:color w:val="192A67"/>
          <w:sz w:val="20"/>
          <w:szCs w:val="20"/>
          <w:lang w:val="en-US"/>
        </w:rPr>
        <w:t>around who</w:t>
      </w:r>
      <w:r w:rsidR="0055754D">
        <w:rPr>
          <w:rFonts w:ascii="Arial" w:hAnsi="Arial" w:cs="Arial"/>
          <w:color w:val="192A67"/>
          <w:sz w:val="20"/>
          <w:szCs w:val="20"/>
          <w:lang w:val="en-US"/>
        </w:rPr>
        <w:t xml:space="preserve"> owns client related documents</w:t>
      </w:r>
      <w:r w:rsidR="00AE677B">
        <w:rPr>
          <w:rFonts w:ascii="Arial" w:hAnsi="Arial" w:cs="Arial"/>
          <w:color w:val="192A67"/>
          <w:sz w:val="20"/>
          <w:szCs w:val="20"/>
          <w:lang w:val="en-US"/>
        </w:rPr>
        <w:t>,</w:t>
      </w:r>
      <w:r w:rsidR="002360FD">
        <w:rPr>
          <w:rFonts w:ascii="Arial" w:hAnsi="Arial" w:cs="Arial"/>
          <w:color w:val="192A67"/>
          <w:sz w:val="20"/>
          <w:szCs w:val="20"/>
          <w:lang w:val="en-US"/>
        </w:rPr>
        <w:t xml:space="preserve"> </w:t>
      </w:r>
      <w:r w:rsidR="00AE677B">
        <w:rPr>
          <w:rFonts w:ascii="Arial" w:hAnsi="Arial" w:cs="Arial"/>
          <w:color w:val="192A67"/>
          <w:sz w:val="20"/>
          <w:szCs w:val="20"/>
          <w:lang w:val="en-US"/>
        </w:rPr>
        <w:t>being</w:t>
      </w:r>
      <w:r w:rsidR="002360FD">
        <w:rPr>
          <w:rFonts w:ascii="Arial" w:hAnsi="Arial" w:cs="Arial"/>
          <w:color w:val="192A67"/>
          <w:sz w:val="20"/>
          <w:szCs w:val="20"/>
          <w:lang w:val="en-US"/>
        </w:rPr>
        <w:t xml:space="preserve"> source documents and working papers</w:t>
      </w:r>
      <w:r w:rsidR="0049062D">
        <w:rPr>
          <w:rFonts w:ascii="Arial" w:hAnsi="Arial" w:cs="Arial"/>
          <w:color w:val="192A67"/>
          <w:sz w:val="20"/>
          <w:szCs w:val="20"/>
          <w:lang w:val="en-US"/>
        </w:rPr>
        <w:t>,</w:t>
      </w:r>
      <w:r w:rsidR="0032099D">
        <w:rPr>
          <w:rFonts w:ascii="Arial" w:hAnsi="Arial" w:cs="Arial"/>
          <w:color w:val="192A67"/>
          <w:sz w:val="20"/>
          <w:szCs w:val="20"/>
          <w:lang w:val="en-US"/>
        </w:rPr>
        <w:t xml:space="preserve"> </w:t>
      </w:r>
      <w:r w:rsidR="00551795">
        <w:rPr>
          <w:rFonts w:ascii="Arial" w:hAnsi="Arial" w:cs="Arial"/>
          <w:color w:val="192A67"/>
          <w:sz w:val="20"/>
          <w:szCs w:val="20"/>
          <w:lang w:val="en-US"/>
        </w:rPr>
        <w:t>both during the appointment</w:t>
      </w:r>
      <w:r w:rsidR="00AE677B">
        <w:rPr>
          <w:rFonts w:ascii="Arial" w:hAnsi="Arial" w:cs="Arial"/>
          <w:color w:val="192A67"/>
          <w:sz w:val="20"/>
          <w:szCs w:val="20"/>
          <w:lang w:val="en-US"/>
        </w:rPr>
        <w:t xml:space="preserve"> period</w:t>
      </w:r>
      <w:r w:rsidR="00551795">
        <w:rPr>
          <w:rFonts w:ascii="Arial" w:hAnsi="Arial" w:cs="Arial"/>
          <w:color w:val="192A67"/>
          <w:sz w:val="20"/>
          <w:szCs w:val="20"/>
          <w:lang w:val="en-US"/>
        </w:rPr>
        <w:t xml:space="preserve"> and </w:t>
      </w:r>
      <w:r w:rsidR="0032099D">
        <w:rPr>
          <w:rFonts w:ascii="Arial" w:hAnsi="Arial" w:cs="Arial"/>
          <w:color w:val="192A67"/>
          <w:sz w:val="20"/>
          <w:szCs w:val="20"/>
          <w:lang w:val="en-US"/>
        </w:rPr>
        <w:t xml:space="preserve">in the event that the appointment </w:t>
      </w:r>
      <w:r w:rsidR="00AE677B">
        <w:rPr>
          <w:rFonts w:ascii="Arial" w:hAnsi="Arial" w:cs="Arial"/>
          <w:color w:val="192A67"/>
          <w:sz w:val="20"/>
          <w:szCs w:val="20"/>
          <w:lang w:val="en-US"/>
        </w:rPr>
        <w:t>is ended</w:t>
      </w:r>
      <w:r w:rsidR="0055754D">
        <w:rPr>
          <w:rFonts w:ascii="Arial" w:hAnsi="Arial" w:cs="Arial"/>
          <w:color w:val="192A67"/>
          <w:sz w:val="20"/>
          <w:szCs w:val="20"/>
          <w:lang w:val="en-US"/>
        </w:rPr>
        <w:t>.</w:t>
      </w:r>
    </w:p>
    <w:p w14:paraId="66CF7D1C" w14:textId="77777777" w:rsidR="008D02ED" w:rsidRDefault="008D02ED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1D" w14:textId="77777777" w:rsidR="00294E75" w:rsidRDefault="00294E75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1E" w14:textId="77777777" w:rsidR="00294E75" w:rsidRPr="006F2D26" w:rsidRDefault="007127A2" w:rsidP="000F4CF3">
      <w:pPr>
        <w:tabs>
          <w:tab w:val="left" w:pos="9072"/>
        </w:tabs>
        <w:spacing w:after="0"/>
        <w:ind w:right="95"/>
        <w:rPr>
          <w:rFonts w:ascii="Arial" w:hAnsi="Arial" w:cs="Arial"/>
          <w:b/>
          <w:color w:val="192A67"/>
          <w:sz w:val="20"/>
          <w:szCs w:val="20"/>
          <w:lang w:val="en-US"/>
        </w:rPr>
      </w:pPr>
      <w:r>
        <w:rPr>
          <w:rFonts w:ascii="Arial" w:hAnsi="Arial" w:cs="Arial"/>
          <w:b/>
          <w:color w:val="192A67"/>
          <w:sz w:val="20"/>
          <w:szCs w:val="20"/>
          <w:lang w:val="en-US"/>
        </w:rPr>
        <w:t>APESB</w:t>
      </w:r>
      <w:r w:rsidR="005071B7">
        <w:rPr>
          <w:rFonts w:ascii="Arial" w:hAnsi="Arial" w:cs="Arial"/>
          <w:b/>
          <w:color w:val="192A67"/>
          <w:sz w:val="20"/>
          <w:szCs w:val="20"/>
          <w:lang w:val="en-US"/>
        </w:rPr>
        <w:t xml:space="preserve"> standard</w:t>
      </w:r>
      <w:r>
        <w:rPr>
          <w:rFonts w:ascii="Arial" w:hAnsi="Arial" w:cs="Arial"/>
          <w:b/>
          <w:color w:val="192A67"/>
          <w:sz w:val="20"/>
          <w:szCs w:val="20"/>
          <w:lang w:val="en-US"/>
        </w:rPr>
        <w:t xml:space="preserve">:  </w:t>
      </w:r>
      <w:r w:rsidR="00294E75">
        <w:rPr>
          <w:rFonts w:ascii="Arial" w:hAnsi="Arial" w:cs="Arial"/>
          <w:b/>
          <w:color w:val="192A67"/>
          <w:sz w:val="20"/>
          <w:szCs w:val="20"/>
          <w:lang w:val="en-US"/>
        </w:rPr>
        <w:t xml:space="preserve">APES 305 – </w:t>
      </w:r>
      <w:r w:rsidR="00294E75" w:rsidRPr="007127A2">
        <w:rPr>
          <w:rFonts w:ascii="Arial" w:hAnsi="Arial" w:cs="Arial"/>
          <w:b/>
          <w:i/>
          <w:color w:val="192A67"/>
          <w:sz w:val="20"/>
          <w:szCs w:val="20"/>
          <w:lang w:val="en-US"/>
        </w:rPr>
        <w:t>Terms of Engagement</w:t>
      </w:r>
    </w:p>
    <w:p w14:paraId="66CF7D1F" w14:textId="77777777" w:rsidR="00294E75" w:rsidRDefault="00294E75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20" w14:textId="77777777" w:rsidR="00551795" w:rsidRPr="006F08D9" w:rsidRDefault="00294E75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 xml:space="preserve">The </w:t>
      </w:r>
      <w:r w:rsidR="0049062D">
        <w:rPr>
          <w:rFonts w:ascii="Arial" w:hAnsi="Arial" w:cs="Arial"/>
          <w:color w:val="192A67"/>
          <w:sz w:val="20"/>
          <w:szCs w:val="20"/>
          <w:lang w:val="en-US"/>
        </w:rPr>
        <w:t>APESB</w:t>
      </w:r>
      <w:r>
        <w:rPr>
          <w:rFonts w:ascii="Arial" w:hAnsi="Arial" w:cs="Arial"/>
          <w:color w:val="192A67"/>
          <w:sz w:val="20"/>
          <w:szCs w:val="20"/>
          <w:lang w:val="en-US"/>
        </w:rPr>
        <w:t xml:space="preserve"> have produced the standard APES 305 </w:t>
      </w:r>
      <w:r w:rsidRPr="00DC100E">
        <w:rPr>
          <w:rFonts w:ascii="Arial" w:hAnsi="Arial" w:cs="Arial"/>
          <w:i/>
          <w:color w:val="192A67"/>
          <w:sz w:val="20"/>
          <w:szCs w:val="20"/>
          <w:lang w:val="en-US"/>
        </w:rPr>
        <w:t>Terms of Engagement</w:t>
      </w:r>
      <w:r>
        <w:rPr>
          <w:rFonts w:ascii="Arial" w:hAnsi="Arial" w:cs="Arial"/>
          <w:color w:val="192A67"/>
          <w:sz w:val="20"/>
          <w:szCs w:val="20"/>
          <w:lang w:val="en-US"/>
        </w:rPr>
        <w:t xml:space="preserve">.  APES 305 </w:t>
      </w:r>
      <w:r w:rsidRPr="0010255C">
        <w:rPr>
          <w:rFonts w:ascii="Arial" w:hAnsi="Arial" w:cs="Arial"/>
          <w:color w:val="192A67"/>
          <w:sz w:val="20"/>
          <w:szCs w:val="20"/>
        </w:rPr>
        <w:t xml:space="preserve">sets </w:t>
      </w:r>
      <w:r>
        <w:rPr>
          <w:rFonts w:ascii="Arial" w:hAnsi="Arial" w:cs="Arial"/>
          <w:color w:val="192A67"/>
          <w:sz w:val="20"/>
          <w:szCs w:val="20"/>
        </w:rPr>
        <w:t xml:space="preserve">out </w:t>
      </w:r>
      <w:r w:rsidRPr="0010255C">
        <w:rPr>
          <w:rFonts w:ascii="Arial" w:hAnsi="Arial" w:cs="Arial"/>
          <w:color w:val="192A67"/>
          <w:sz w:val="20"/>
          <w:szCs w:val="20"/>
        </w:rPr>
        <w:t>the standards in resp</w:t>
      </w:r>
      <w:r>
        <w:rPr>
          <w:rFonts w:ascii="Arial" w:hAnsi="Arial" w:cs="Arial"/>
          <w:color w:val="192A67"/>
          <w:sz w:val="20"/>
          <w:szCs w:val="20"/>
        </w:rPr>
        <w:t>ect to the Terms of Engagement for m</w:t>
      </w:r>
      <w:r w:rsidRPr="0010255C">
        <w:rPr>
          <w:rFonts w:ascii="Arial" w:hAnsi="Arial" w:cs="Arial"/>
          <w:color w:val="192A67"/>
          <w:sz w:val="20"/>
          <w:szCs w:val="20"/>
        </w:rPr>
        <w:t xml:space="preserve">embers in </w:t>
      </w:r>
      <w:r>
        <w:rPr>
          <w:rFonts w:ascii="Arial" w:hAnsi="Arial" w:cs="Arial"/>
          <w:color w:val="192A67"/>
          <w:sz w:val="20"/>
          <w:szCs w:val="20"/>
        </w:rPr>
        <w:t>professional p</w:t>
      </w:r>
      <w:r w:rsidRPr="0010255C">
        <w:rPr>
          <w:rFonts w:ascii="Arial" w:hAnsi="Arial" w:cs="Arial"/>
          <w:color w:val="192A67"/>
          <w:sz w:val="20"/>
          <w:szCs w:val="20"/>
        </w:rPr>
        <w:t>ractice</w:t>
      </w:r>
      <w:r>
        <w:rPr>
          <w:rFonts w:ascii="Arial" w:hAnsi="Arial" w:cs="Arial"/>
          <w:color w:val="192A67"/>
          <w:sz w:val="20"/>
          <w:szCs w:val="20"/>
        </w:rPr>
        <w:t xml:space="preserve">.  </w:t>
      </w:r>
    </w:p>
    <w:p w14:paraId="66CF7D21" w14:textId="77777777" w:rsidR="00551795" w:rsidRDefault="00551795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</w:p>
    <w:p w14:paraId="66CF7D22" w14:textId="77777777" w:rsidR="00890AF0" w:rsidRDefault="00890AF0" w:rsidP="000F4CF3">
      <w:pPr>
        <w:tabs>
          <w:tab w:val="left" w:pos="9072"/>
        </w:tabs>
        <w:spacing w:after="0"/>
        <w:ind w:right="95"/>
        <w:rPr>
          <w:rFonts w:ascii="Arial" w:hAnsi="Arial" w:cs="Arial"/>
          <w:bCs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 xml:space="preserve">APES 305 </w:t>
      </w:r>
      <w:r w:rsidR="00294E75">
        <w:rPr>
          <w:rFonts w:ascii="Arial" w:hAnsi="Arial" w:cs="Arial"/>
          <w:bCs/>
          <w:color w:val="192A67"/>
          <w:sz w:val="20"/>
          <w:szCs w:val="20"/>
        </w:rPr>
        <w:t xml:space="preserve">can be </w:t>
      </w:r>
      <w:r w:rsidR="00557C8B">
        <w:rPr>
          <w:rFonts w:ascii="Arial" w:hAnsi="Arial" w:cs="Arial"/>
          <w:bCs/>
          <w:color w:val="192A67"/>
          <w:sz w:val="20"/>
          <w:szCs w:val="20"/>
        </w:rPr>
        <w:t>viewed</w:t>
      </w:r>
      <w:r w:rsidR="00294E75">
        <w:rPr>
          <w:rFonts w:ascii="Arial" w:hAnsi="Arial" w:cs="Arial"/>
          <w:bCs/>
          <w:color w:val="192A67"/>
          <w:sz w:val="20"/>
          <w:szCs w:val="20"/>
        </w:rPr>
        <w:t xml:space="preserve"> at</w:t>
      </w:r>
      <w:r w:rsidR="00557C8B">
        <w:rPr>
          <w:rFonts w:ascii="Arial" w:hAnsi="Arial" w:cs="Arial"/>
          <w:bCs/>
          <w:color w:val="192A67"/>
          <w:sz w:val="20"/>
          <w:szCs w:val="20"/>
        </w:rPr>
        <w:t xml:space="preserve"> the following address</w:t>
      </w:r>
      <w:r w:rsidR="00294E75">
        <w:rPr>
          <w:rFonts w:ascii="Arial" w:hAnsi="Arial" w:cs="Arial"/>
          <w:bCs/>
          <w:color w:val="192A67"/>
          <w:sz w:val="20"/>
          <w:szCs w:val="20"/>
        </w:rPr>
        <w:t xml:space="preserve">: </w:t>
      </w:r>
    </w:p>
    <w:p w14:paraId="66CF7D23" w14:textId="77777777" w:rsidR="00294E75" w:rsidRDefault="00AC7C50" w:rsidP="000F4CF3">
      <w:pPr>
        <w:tabs>
          <w:tab w:val="left" w:pos="9072"/>
        </w:tabs>
        <w:spacing w:after="0"/>
        <w:ind w:right="95"/>
        <w:rPr>
          <w:rFonts w:ascii="Arial" w:hAnsi="Arial" w:cs="Arial"/>
          <w:bCs/>
          <w:color w:val="192A67"/>
          <w:sz w:val="20"/>
          <w:szCs w:val="20"/>
        </w:rPr>
      </w:pPr>
      <w:hyperlink r:id="rId11" w:history="1">
        <w:r w:rsidR="00294E75" w:rsidRPr="00871069">
          <w:rPr>
            <w:rStyle w:val="Hyperlink"/>
            <w:rFonts w:ascii="Arial" w:hAnsi="Arial" w:cs="Arial"/>
            <w:bCs/>
            <w:sz w:val="20"/>
            <w:szCs w:val="20"/>
          </w:rPr>
          <w:t>https://www.apesb.org.au/uploads/standards/apesb_standards/27102015051946_Revised_APES_305_Oct_2015.pdf</w:t>
        </w:r>
      </w:hyperlink>
    </w:p>
    <w:p w14:paraId="66CF7D24" w14:textId="77777777" w:rsidR="00294E75" w:rsidRDefault="00294E75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25" w14:textId="77777777" w:rsidR="000F4CF3" w:rsidRDefault="000F4CF3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26" w14:textId="77777777" w:rsidR="007D7ED7" w:rsidRDefault="007D7ED7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27" w14:textId="77777777" w:rsidR="007D7ED7" w:rsidRDefault="007D7ED7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</w:p>
    <w:p w14:paraId="66CF7D28" w14:textId="77777777" w:rsidR="00A92157" w:rsidRPr="00A92157" w:rsidRDefault="00A92157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</w:rPr>
        <w:t>APES 305 states, i</w:t>
      </w:r>
      <w:r w:rsidRPr="00551795">
        <w:rPr>
          <w:rFonts w:ascii="Arial" w:hAnsi="Arial" w:cs="Arial"/>
          <w:color w:val="192A67"/>
          <w:sz w:val="20"/>
          <w:szCs w:val="20"/>
        </w:rPr>
        <w:t xml:space="preserve">f </w:t>
      </w:r>
      <w:r>
        <w:rPr>
          <w:rFonts w:ascii="Arial" w:hAnsi="Arial" w:cs="Arial"/>
          <w:color w:val="192A67"/>
          <w:sz w:val="20"/>
          <w:szCs w:val="20"/>
        </w:rPr>
        <w:t>an IPA member</w:t>
      </w:r>
      <w:r w:rsidRPr="00551795">
        <w:rPr>
          <w:rFonts w:ascii="Arial" w:hAnsi="Arial" w:cs="Arial"/>
          <w:color w:val="192A67"/>
          <w:sz w:val="20"/>
          <w:szCs w:val="20"/>
        </w:rPr>
        <w:t xml:space="preserve"> </w:t>
      </w:r>
      <w:r>
        <w:rPr>
          <w:rFonts w:ascii="Arial" w:hAnsi="Arial" w:cs="Arial"/>
          <w:color w:val="192A67"/>
          <w:sz w:val="20"/>
          <w:szCs w:val="20"/>
        </w:rPr>
        <w:t>is</w:t>
      </w:r>
      <w:r w:rsidRPr="00551795">
        <w:rPr>
          <w:rFonts w:ascii="Arial" w:hAnsi="Arial" w:cs="Arial"/>
          <w:color w:val="192A67"/>
          <w:sz w:val="20"/>
          <w:szCs w:val="20"/>
        </w:rPr>
        <w:t xml:space="preserve"> seeking to exercise a right of </w:t>
      </w:r>
      <w:r>
        <w:rPr>
          <w:rFonts w:ascii="Arial" w:hAnsi="Arial" w:cs="Arial"/>
          <w:color w:val="192A67"/>
          <w:sz w:val="20"/>
          <w:szCs w:val="20"/>
        </w:rPr>
        <w:t xml:space="preserve">a </w:t>
      </w:r>
      <w:r w:rsidRPr="00551795">
        <w:rPr>
          <w:rFonts w:ascii="Arial" w:hAnsi="Arial" w:cs="Arial"/>
          <w:color w:val="192A67"/>
          <w:sz w:val="20"/>
          <w:szCs w:val="20"/>
        </w:rPr>
        <w:t xml:space="preserve">lien over </w:t>
      </w:r>
      <w:r>
        <w:rPr>
          <w:rFonts w:ascii="Arial" w:hAnsi="Arial" w:cs="Arial"/>
          <w:color w:val="192A67"/>
          <w:sz w:val="20"/>
          <w:szCs w:val="20"/>
        </w:rPr>
        <w:t>client related</w:t>
      </w:r>
      <w:r w:rsidRPr="00551795">
        <w:rPr>
          <w:rFonts w:ascii="Arial" w:hAnsi="Arial" w:cs="Arial"/>
          <w:color w:val="192A67"/>
          <w:sz w:val="20"/>
          <w:szCs w:val="20"/>
        </w:rPr>
        <w:t xml:space="preserve"> documents </w:t>
      </w:r>
      <w:r>
        <w:rPr>
          <w:rFonts w:ascii="Arial" w:hAnsi="Arial" w:cs="Arial"/>
          <w:color w:val="192A67"/>
          <w:sz w:val="20"/>
          <w:szCs w:val="20"/>
        </w:rPr>
        <w:t>as a result</w:t>
      </w:r>
      <w:r w:rsidRPr="00551795">
        <w:rPr>
          <w:rFonts w:ascii="Arial" w:hAnsi="Arial" w:cs="Arial"/>
          <w:color w:val="192A67"/>
          <w:sz w:val="20"/>
          <w:szCs w:val="20"/>
        </w:rPr>
        <w:t xml:space="preserve"> of a dispute with </w:t>
      </w:r>
      <w:r>
        <w:rPr>
          <w:rFonts w:ascii="Arial" w:hAnsi="Arial" w:cs="Arial"/>
          <w:color w:val="192A67"/>
          <w:sz w:val="20"/>
          <w:szCs w:val="20"/>
        </w:rPr>
        <w:t>a</w:t>
      </w:r>
      <w:r w:rsidRPr="00551795">
        <w:rPr>
          <w:rFonts w:ascii="Arial" w:hAnsi="Arial" w:cs="Arial"/>
          <w:color w:val="192A67"/>
          <w:sz w:val="20"/>
          <w:szCs w:val="20"/>
        </w:rPr>
        <w:t xml:space="preserve"> </w:t>
      </w:r>
      <w:r>
        <w:rPr>
          <w:rFonts w:ascii="Arial" w:hAnsi="Arial" w:cs="Arial"/>
          <w:color w:val="192A67"/>
          <w:sz w:val="20"/>
          <w:szCs w:val="20"/>
        </w:rPr>
        <w:t>c</w:t>
      </w:r>
      <w:r w:rsidRPr="00551795">
        <w:rPr>
          <w:rFonts w:ascii="Arial" w:hAnsi="Arial" w:cs="Arial"/>
          <w:color w:val="192A67"/>
          <w:sz w:val="20"/>
          <w:szCs w:val="20"/>
        </w:rPr>
        <w:t xml:space="preserve">lient, this should be disclosed in the Engagement Document </w:t>
      </w:r>
      <w:r>
        <w:rPr>
          <w:rFonts w:ascii="Arial" w:hAnsi="Arial" w:cs="Arial"/>
          <w:color w:val="192A67"/>
          <w:sz w:val="20"/>
          <w:szCs w:val="20"/>
        </w:rPr>
        <w:t xml:space="preserve">and clearly </w:t>
      </w:r>
      <w:r w:rsidRPr="00551795">
        <w:rPr>
          <w:rFonts w:ascii="Arial" w:hAnsi="Arial" w:cs="Arial"/>
          <w:color w:val="192A67"/>
          <w:sz w:val="20"/>
          <w:szCs w:val="20"/>
        </w:rPr>
        <w:t xml:space="preserve">communicated to the </w:t>
      </w:r>
      <w:r>
        <w:rPr>
          <w:rFonts w:ascii="Arial" w:hAnsi="Arial" w:cs="Arial"/>
          <w:color w:val="192A67"/>
          <w:sz w:val="20"/>
          <w:szCs w:val="20"/>
        </w:rPr>
        <w:t>c</w:t>
      </w:r>
      <w:r w:rsidRPr="00551795">
        <w:rPr>
          <w:rFonts w:ascii="Arial" w:hAnsi="Arial" w:cs="Arial"/>
          <w:color w:val="192A67"/>
          <w:sz w:val="20"/>
          <w:szCs w:val="20"/>
        </w:rPr>
        <w:t>lient</w:t>
      </w:r>
      <w:r>
        <w:rPr>
          <w:rFonts w:ascii="Arial" w:hAnsi="Arial" w:cs="Arial"/>
          <w:color w:val="192A67"/>
          <w:sz w:val="20"/>
          <w:szCs w:val="20"/>
        </w:rPr>
        <w:t>,</w:t>
      </w:r>
      <w:r w:rsidRPr="00551795">
        <w:rPr>
          <w:rFonts w:ascii="Arial" w:hAnsi="Arial" w:cs="Arial"/>
          <w:color w:val="192A67"/>
          <w:sz w:val="20"/>
          <w:szCs w:val="20"/>
        </w:rPr>
        <w:t xml:space="preserve"> including the process for dealing with disputes over the lien.</w:t>
      </w:r>
    </w:p>
    <w:p w14:paraId="66CF7D29" w14:textId="77777777" w:rsidR="00A92157" w:rsidRDefault="00A92157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</w:p>
    <w:p w14:paraId="66CF7D2A" w14:textId="77777777" w:rsidR="000F4CF3" w:rsidRDefault="00551795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 xml:space="preserve">APES 305 </w:t>
      </w:r>
      <w:r w:rsidR="00A92157">
        <w:rPr>
          <w:rFonts w:ascii="Arial" w:hAnsi="Arial" w:cs="Arial"/>
          <w:color w:val="192A67"/>
          <w:sz w:val="20"/>
          <w:szCs w:val="20"/>
        </w:rPr>
        <w:t xml:space="preserve">also </w:t>
      </w:r>
      <w:r>
        <w:rPr>
          <w:rFonts w:ascii="Arial" w:hAnsi="Arial" w:cs="Arial"/>
          <w:color w:val="192A67"/>
          <w:sz w:val="20"/>
          <w:szCs w:val="20"/>
        </w:rPr>
        <w:t>states that the</w:t>
      </w:r>
      <w:r w:rsidRPr="00551795">
        <w:rPr>
          <w:rFonts w:ascii="Arial" w:hAnsi="Arial" w:cs="Arial"/>
          <w:color w:val="192A67"/>
          <w:sz w:val="20"/>
          <w:szCs w:val="20"/>
        </w:rPr>
        <w:t xml:space="preserve"> Engagement Document should </w:t>
      </w:r>
      <w:r w:rsidR="007127A2">
        <w:rPr>
          <w:rFonts w:ascii="Arial" w:hAnsi="Arial" w:cs="Arial"/>
          <w:color w:val="192A67"/>
          <w:sz w:val="20"/>
          <w:szCs w:val="20"/>
        </w:rPr>
        <w:t>clearly state</w:t>
      </w:r>
      <w:r w:rsidRPr="00551795">
        <w:rPr>
          <w:rFonts w:ascii="Arial" w:hAnsi="Arial" w:cs="Arial"/>
          <w:color w:val="192A67"/>
          <w:sz w:val="20"/>
          <w:szCs w:val="20"/>
        </w:rPr>
        <w:t xml:space="preserve"> who owns</w:t>
      </w:r>
      <w:r w:rsidR="000F4CF3">
        <w:rPr>
          <w:rFonts w:ascii="Arial" w:hAnsi="Arial" w:cs="Arial"/>
          <w:color w:val="192A67"/>
          <w:sz w:val="20"/>
          <w:szCs w:val="20"/>
        </w:rPr>
        <w:t>:</w:t>
      </w:r>
      <w:r w:rsidR="000F4CF3">
        <w:rPr>
          <w:rFonts w:ascii="Arial" w:hAnsi="Arial" w:cs="Arial"/>
          <w:color w:val="192A67"/>
          <w:sz w:val="20"/>
          <w:szCs w:val="20"/>
        </w:rPr>
        <w:br/>
      </w:r>
    </w:p>
    <w:p w14:paraId="66CF7D2B" w14:textId="77777777" w:rsidR="000F4CF3" w:rsidRPr="003F450D" w:rsidRDefault="000F4CF3" w:rsidP="003F450D">
      <w:pPr>
        <w:pStyle w:val="ListParagraph"/>
        <w:numPr>
          <w:ilvl w:val="0"/>
          <w:numId w:val="10"/>
        </w:num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  <w:r w:rsidRPr="003F450D">
        <w:rPr>
          <w:rFonts w:ascii="Arial" w:hAnsi="Arial" w:cs="Arial"/>
          <w:color w:val="192A67"/>
          <w:sz w:val="20"/>
          <w:szCs w:val="20"/>
        </w:rPr>
        <w:t xml:space="preserve">the </w:t>
      </w:r>
      <w:r w:rsidRPr="00BD4CF2">
        <w:rPr>
          <w:rFonts w:ascii="Arial" w:hAnsi="Arial" w:cs="Arial"/>
          <w:i/>
          <w:color w:val="192A67"/>
          <w:sz w:val="20"/>
          <w:szCs w:val="20"/>
        </w:rPr>
        <w:t>working papers</w:t>
      </w:r>
      <w:r w:rsidRPr="003F450D">
        <w:rPr>
          <w:rFonts w:ascii="Arial" w:hAnsi="Arial" w:cs="Arial"/>
          <w:color w:val="192A67"/>
          <w:sz w:val="20"/>
          <w:szCs w:val="20"/>
        </w:rPr>
        <w:t xml:space="preserve"> – being </w:t>
      </w:r>
      <w:r w:rsidR="00551795" w:rsidRPr="003F450D">
        <w:rPr>
          <w:rFonts w:ascii="Arial" w:hAnsi="Arial" w:cs="Arial"/>
          <w:color w:val="192A67"/>
          <w:sz w:val="20"/>
          <w:szCs w:val="20"/>
        </w:rPr>
        <w:t xml:space="preserve">documents produced as a result of the </w:t>
      </w:r>
      <w:r w:rsidR="006F08D9" w:rsidRPr="003F450D">
        <w:rPr>
          <w:rFonts w:ascii="Arial" w:hAnsi="Arial" w:cs="Arial"/>
          <w:color w:val="192A67"/>
          <w:sz w:val="20"/>
          <w:szCs w:val="20"/>
        </w:rPr>
        <w:t>client en</w:t>
      </w:r>
      <w:r w:rsidR="00551795" w:rsidRPr="003F450D">
        <w:rPr>
          <w:rFonts w:ascii="Arial" w:hAnsi="Arial" w:cs="Arial"/>
          <w:color w:val="192A67"/>
          <w:sz w:val="20"/>
          <w:szCs w:val="20"/>
        </w:rPr>
        <w:t>gagement</w:t>
      </w:r>
      <w:r w:rsidRPr="003F450D">
        <w:rPr>
          <w:rFonts w:ascii="Arial" w:hAnsi="Arial" w:cs="Arial"/>
          <w:color w:val="192A67"/>
          <w:sz w:val="20"/>
          <w:szCs w:val="20"/>
        </w:rPr>
        <w:t>, and</w:t>
      </w:r>
    </w:p>
    <w:p w14:paraId="66CF7D2C" w14:textId="77777777" w:rsidR="000F4CF3" w:rsidRPr="003F450D" w:rsidRDefault="000F4CF3" w:rsidP="003F450D">
      <w:pPr>
        <w:pStyle w:val="ListParagraph"/>
        <w:numPr>
          <w:ilvl w:val="0"/>
          <w:numId w:val="10"/>
        </w:num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  <w:r w:rsidRPr="003F450D">
        <w:rPr>
          <w:rFonts w:ascii="Arial" w:hAnsi="Arial" w:cs="Arial"/>
          <w:color w:val="192A67"/>
          <w:sz w:val="20"/>
          <w:szCs w:val="20"/>
        </w:rPr>
        <w:t xml:space="preserve">the </w:t>
      </w:r>
      <w:r w:rsidRPr="00BD4CF2">
        <w:rPr>
          <w:rFonts w:ascii="Arial" w:hAnsi="Arial" w:cs="Arial"/>
          <w:i/>
          <w:color w:val="192A67"/>
          <w:sz w:val="20"/>
          <w:szCs w:val="20"/>
        </w:rPr>
        <w:t>source documents</w:t>
      </w:r>
      <w:r w:rsidRPr="003F450D">
        <w:rPr>
          <w:rFonts w:ascii="Arial" w:hAnsi="Arial" w:cs="Arial"/>
          <w:color w:val="192A67"/>
          <w:sz w:val="20"/>
          <w:szCs w:val="20"/>
        </w:rPr>
        <w:t xml:space="preserve"> – being original documents </w:t>
      </w:r>
      <w:r w:rsidR="00551795" w:rsidRPr="003F450D">
        <w:rPr>
          <w:rFonts w:ascii="Arial" w:hAnsi="Arial" w:cs="Arial"/>
          <w:color w:val="192A67"/>
          <w:sz w:val="20"/>
          <w:szCs w:val="20"/>
        </w:rPr>
        <w:t xml:space="preserve">provided by the </w:t>
      </w:r>
      <w:r w:rsidR="006F08D9" w:rsidRPr="003F450D">
        <w:rPr>
          <w:rFonts w:ascii="Arial" w:hAnsi="Arial" w:cs="Arial"/>
          <w:color w:val="192A67"/>
          <w:sz w:val="20"/>
          <w:szCs w:val="20"/>
        </w:rPr>
        <w:t>c</w:t>
      </w:r>
      <w:r w:rsidR="00551795" w:rsidRPr="003F450D">
        <w:rPr>
          <w:rFonts w:ascii="Arial" w:hAnsi="Arial" w:cs="Arial"/>
          <w:color w:val="192A67"/>
          <w:sz w:val="20"/>
          <w:szCs w:val="20"/>
        </w:rPr>
        <w:t xml:space="preserve">lient </w:t>
      </w:r>
      <w:r w:rsidR="006F08D9" w:rsidRPr="003F450D">
        <w:rPr>
          <w:rFonts w:ascii="Arial" w:hAnsi="Arial" w:cs="Arial"/>
          <w:color w:val="192A67"/>
          <w:sz w:val="20"/>
          <w:szCs w:val="20"/>
        </w:rPr>
        <w:t>to the member</w:t>
      </w:r>
      <w:r w:rsidRPr="003F450D">
        <w:rPr>
          <w:rFonts w:ascii="Arial" w:hAnsi="Arial" w:cs="Arial"/>
          <w:color w:val="192A67"/>
          <w:sz w:val="20"/>
          <w:szCs w:val="20"/>
        </w:rPr>
        <w:t>.</w:t>
      </w:r>
    </w:p>
    <w:p w14:paraId="66CF7D2D" w14:textId="77777777" w:rsidR="000F4CF3" w:rsidRDefault="000F4CF3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</w:p>
    <w:p w14:paraId="66CF7D2E" w14:textId="77777777" w:rsidR="000F4CF3" w:rsidRDefault="006F08D9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>This includes</w:t>
      </w:r>
      <w:r w:rsidR="00551795" w:rsidRPr="00551795">
        <w:rPr>
          <w:rFonts w:ascii="Arial" w:hAnsi="Arial" w:cs="Arial"/>
          <w:color w:val="192A67"/>
          <w:sz w:val="20"/>
          <w:szCs w:val="20"/>
        </w:rPr>
        <w:t xml:space="preserve"> </w:t>
      </w:r>
      <w:r w:rsidR="00A92157">
        <w:rPr>
          <w:rFonts w:ascii="Arial" w:hAnsi="Arial" w:cs="Arial"/>
          <w:color w:val="192A67"/>
          <w:sz w:val="20"/>
          <w:szCs w:val="20"/>
        </w:rPr>
        <w:t xml:space="preserve">both paper based and </w:t>
      </w:r>
      <w:r w:rsidR="00551795" w:rsidRPr="00551795">
        <w:rPr>
          <w:rFonts w:ascii="Arial" w:hAnsi="Arial" w:cs="Arial"/>
          <w:color w:val="192A67"/>
          <w:sz w:val="20"/>
          <w:szCs w:val="20"/>
        </w:rPr>
        <w:t xml:space="preserve">electronic </w:t>
      </w:r>
      <w:r w:rsidR="000F4CF3">
        <w:rPr>
          <w:rFonts w:ascii="Arial" w:hAnsi="Arial" w:cs="Arial"/>
          <w:color w:val="192A67"/>
          <w:sz w:val="20"/>
          <w:szCs w:val="20"/>
        </w:rPr>
        <w:t>documents</w:t>
      </w:r>
      <w:r w:rsidR="000F4CF3" w:rsidRPr="00551795">
        <w:rPr>
          <w:rFonts w:ascii="Arial" w:hAnsi="Arial" w:cs="Arial"/>
          <w:color w:val="192A67"/>
          <w:sz w:val="20"/>
          <w:szCs w:val="20"/>
        </w:rPr>
        <w:t xml:space="preserve"> </w:t>
      </w:r>
      <w:r w:rsidR="000F4CF3">
        <w:rPr>
          <w:rFonts w:ascii="Arial" w:hAnsi="Arial" w:cs="Arial"/>
          <w:color w:val="192A67"/>
          <w:sz w:val="20"/>
          <w:szCs w:val="20"/>
        </w:rPr>
        <w:t xml:space="preserve">and </w:t>
      </w:r>
      <w:r w:rsidR="00551795" w:rsidRPr="00551795">
        <w:rPr>
          <w:rFonts w:ascii="Arial" w:hAnsi="Arial" w:cs="Arial"/>
          <w:color w:val="192A67"/>
          <w:sz w:val="20"/>
          <w:szCs w:val="20"/>
        </w:rPr>
        <w:t xml:space="preserve">data. </w:t>
      </w:r>
      <w:r>
        <w:rPr>
          <w:rFonts w:ascii="Arial" w:hAnsi="Arial" w:cs="Arial"/>
          <w:color w:val="192A67"/>
          <w:sz w:val="20"/>
          <w:szCs w:val="20"/>
        </w:rPr>
        <w:t xml:space="preserve"> </w:t>
      </w:r>
    </w:p>
    <w:p w14:paraId="66CF7D2F" w14:textId="77777777" w:rsidR="00551795" w:rsidRDefault="00551795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30" w14:textId="77777777" w:rsidR="00551795" w:rsidRDefault="00551795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31" w14:textId="77777777" w:rsidR="007127A2" w:rsidRPr="006F2D26" w:rsidRDefault="007127A2" w:rsidP="007127A2">
      <w:pPr>
        <w:tabs>
          <w:tab w:val="left" w:pos="9072"/>
        </w:tabs>
        <w:spacing w:after="0"/>
        <w:ind w:right="95"/>
        <w:rPr>
          <w:rFonts w:ascii="Arial" w:hAnsi="Arial" w:cs="Arial"/>
          <w:b/>
          <w:color w:val="192A67"/>
          <w:sz w:val="20"/>
          <w:szCs w:val="20"/>
          <w:lang w:val="en-US"/>
        </w:rPr>
      </w:pPr>
      <w:r>
        <w:rPr>
          <w:rFonts w:ascii="Arial" w:hAnsi="Arial" w:cs="Arial"/>
          <w:b/>
          <w:color w:val="192A67"/>
          <w:sz w:val="20"/>
          <w:szCs w:val="20"/>
          <w:lang w:val="en-US"/>
        </w:rPr>
        <w:t>TPB</w:t>
      </w:r>
      <w:r w:rsidR="005071B7">
        <w:rPr>
          <w:rFonts w:ascii="Arial" w:hAnsi="Arial" w:cs="Arial"/>
          <w:b/>
          <w:color w:val="192A67"/>
          <w:sz w:val="20"/>
          <w:szCs w:val="20"/>
          <w:lang w:val="en-US"/>
        </w:rPr>
        <w:t xml:space="preserve"> requirement</w:t>
      </w:r>
      <w:r>
        <w:rPr>
          <w:rFonts w:ascii="Arial" w:hAnsi="Arial" w:cs="Arial"/>
          <w:b/>
          <w:color w:val="192A67"/>
          <w:sz w:val="20"/>
          <w:szCs w:val="20"/>
          <w:lang w:val="en-US"/>
        </w:rPr>
        <w:t xml:space="preserve">:  TPB Information Sheet 02/2011 – </w:t>
      </w:r>
      <w:r w:rsidRPr="007127A2">
        <w:rPr>
          <w:rFonts w:ascii="Arial" w:hAnsi="Arial" w:cs="Arial"/>
          <w:b/>
          <w:i/>
          <w:color w:val="192A67"/>
          <w:sz w:val="20"/>
          <w:szCs w:val="20"/>
          <w:lang w:val="en-US"/>
        </w:rPr>
        <w:t>Claiming a lien over client property</w:t>
      </w:r>
    </w:p>
    <w:p w14:paraId="66CF7D32" w14:textId="77777777" w:rsidR="00551795" w:rsidRDefault="00551795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33" w14:textId="77777777" w:rsidR="003F450D" w:rsidRDefault="004C0ED6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 xml:space="preserve">The TPB have </w:t>
      </w:r>
      <w:r w:rsidR="00BD4CF2">
        <w:rPr>
          <w:rFonts w:ascii="Arial" w:hAnsi="Arial" w:cs="Arial"/>
          <w:color w:val="192A67"/>
          <w:sz w:val="20"/>
          <w:szCs w:val="20"/>
          <w:lang w:val="en-US"/>
        </w:rPr>
        <w:t>issued an</w:t>
      </w:r>
      <w:r>
        <w:rPr>
          <w:rFonts w:ascii="Arial" w:hAnsi="Arial" w:cs="Arial"/>
          <w:color w:val="192A67"/>
          <w:sz w:val="20"/>
          <w:szCs w:val="20"/>
          <w:lang w:val="en-US"/>
        </w:rPr>
        <w:t xml:space="preserve"> </w:t>
      </w:r>
      <w:r w:rsidR="00464963">
        <w:rPr>
          <w:rFonts w:ascii="Arial" w:hAnsi="Arial" w:cs="Arial"/>
          <w:color w:val="192A67"/>
          <w:sz w:val="20"/>
          <w:szCs w:val="20"/>
          <w:lang w:val="en-US"/>
        </w:rPr>
        <w:t>Information Sheet 02/2011</w:t>
      </w:r>
      <w:r>
        <w:rPr>
          <w:rFonts w:ascii="Arial" w:hAnsi="Arial" w:cs="Arial"/>
          <w:color w:val="192A67"/>
          <w:sz w:val="20"/>
          <w:szCs w:val="20"/>
          <w:lang w:val="en-US"/>
        </w:rPr>
        <w:t xml:space="preserve"> </w:t>
      </w:r>
      <w:r w:rsidR="00464963">
        <w:rPr>
          <w:rFonts w:ascii="Arial" w:hAnsi="Arial" w:cs="Arial"/>
          <w:i/>
          <w:color w:val="192A67"/>
          <w:sz w:val="20"/>
          <w:szCs w:val="20"/>
          <w:lang w:val="en-US"/>
        </w:rPr>
        <w:t>Claiming a lien over client property</w:t>
      </w:r>
      <w:r>
        <w:rPr>
          <w:rFonts w:ascii="Arial" w:hAnsi="Arial" w:cs="Arial"/>
          <w:color w:val="192A67"/>
          <w:sz w:val="20"/>
          <w:szCs w:val="20"/>
          <w:lang w:val="en-US"/>
        </w:rPr>
        <w:t>.</w:t>
      </w:r>
      <w:r w:rsidR="003F450D">
        <w:rPr>
          <w:rFonts w:ascii="Arial" w:hAnsi="Arial" w:cs="Arial"/>
          <w:color w:val="192A67"/>
          <w:sz w:val="20"/>
          <w:szCs w:val="20"/>
          <w:lang w:val="en-US"/>
        </w:rPr>
        <w:t xml:space="preserve">  This information sheet </w:t>
      </w:r>
      <w:r w:rsidR="003F450D" w:rsidRPr="0010255C">
        <w:rPr>
          <w:rFonts w:ascii="Arial" w:hAnsi="Arial" w:cs="Arial"/>
          <w:color w:val="192A67"/>
          <w:sz w:val="20"/>
          <w:szCs w:val="20"/>
        </w:rPr>
        <w:t xml:space="preserve">sets </w:t>
      </w:r>
      <w:r w:rsidR="003F450D">
        <w:rPr>
          <w:rFonts w:ascii="Arial" w:hAnsi="Arial" w:cs="Arial"/>
          <w:color w:val="192A67"/>
          <w:sz w:val="20"/>
          <w:szCs w:val="20"/>
        </w:rPr>
        <w:t xml:space="preserve">out </w:t>
      </w:r>
      <w:r w:rsidR="003F450D" w:rsidRPr="0010255C">
        <w:rPr>
          <w:rFonts w:ascii="Arial" w:hAnsi="Arial" w:cs="Arial"/>
          <w:color w:val="192A67"/>
          <w:sz w:val="20"/>
          <w:szCs w:val="20"/>
        </w:rPr>
        <w:t xml:space="preserve">the </w:t>
      </w:r>
      <w:r w:rsidR="003F450D">
        <w:rPr>
          <w:rFonts w:ascii="Arial" w:hAnsi="Arial" w:cs="Arial"/>
          <w:color w:val="192A67"/>
          <w:sz w:val="20"/>
          <w:szCs w:val="20"/>
        </w:rPr>
        <w:t>TPB’s position</w:t>
      </w:r>
      <w:r w:rsidR="003F450D" w:rsidRPr="0010255C">
        <w:rPr>
          <w:rFonts w:ascii="Arial" w:hAnsi="Arial" w:cs="Arial"/>
          <w:color w:val="192A67"/>
          <w:sz w:val="20"/>
          <w:szCs w:val="20"/>
        </w:rPr>
        <w:t xml:space="preserve"> in resp</w:t>
      </w:r>
      <w:r w:rsidR="003F450D">
        <w:rPr>
          <w:rFonts w:ascii="Arial" w:hAnsi="Arial" w:cs="Arial"/>
          <w:color w:val="192A67"/>
          <w:sz w:val="20"/>
          <w:szCs w:val="20"/>
        </w:rPr>
        <w:t xml:space="preserve">ect to claiming a lien over a client’s property and document ownership. </w:t>
      </w:r>
    </w:p>
    <w:p w14:paraId="66CF7D34" w14:textId="77777777" w:rsidR="003F450D" w:rsidRDefault="003F450D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</w:p>
    <w:p w14:paraId="66CF7D35" w14:textId="77777777" w:rsidR="001A6BA0" w:rsidRDefault="001A6BA0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 xml:space="preserve">TPB Information Sheet 02/2011 </w:t>
      </w:r>
      <w:r w:rsidR="00BD4CF2">
        <w:rPr>
          <w:rFonts w:ascii="Arial" w:hAnsi="Arial" w:cs="Arial"/>
          <w:bCs/>
          <w:color w:val="192A67"/>
          <w:sz w:val="20"/>
          <w:szCs w:val="20"/>
        </w:rPr>
        <w:t>can be viewed at the following address</w:t>
      </w:r>
      <w:r>
        <w:rPr>
          <w:rFonts w:ascii="Arial" w:hAnsi="Arial" w:cs="Arial"/>
          <w:color w:val="192A67"/>
          <w:sz w:val="20"/>
          <w:szCs w:val="20"/>
          <w:lang w:val="en-US"/>
        </w:rPr>
        <w:t xml:space="preserve">: </w:t>
      </w:r>
      <w:hyperlink r:id="rId12" w:history="1">
        <w:r w:rsidR="003F450D" w:rsidRPr="00871069">
          <w:rPr>
            <w:rStyle w:val="Hyperlink"/>
            <w:rFonts w:ascii="Arial" w:hAnsi="Arial" w:cs="Arial"/>
            <w:sz w:val="20"/>
            <w:szCs w:val="20"/>
            <w:lang w:val="en-US"/>
          </w:rPr>
          <w:t>https://www.tpb.gov.au/sites/default/files/tpb_i_02_2011_claiming_a_lien_over_client_property.pdf</w:t>
        </w:r>
      </w:hyperlink>
    </w:p>
    <w:p w14:paraId="66CF7D36" w14:textId="77777777" w:rsidR="001A6BA0" w:rsidRDefault="001A6BA0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37" w14:textId="77777777" w:rsidR="003F450D" w:rsidRDefault="003F450D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>TPB Information Sheet 02/2011 advises there are two types of liens:</w:t>
      </w:r>
    </w:p>
    <w:p w14:paraId="66CF7D38" w14:textId="77777777" w:rsidR="003F450D" w:rsidRDefault="003F450D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39" w14:textId="77777777" w:rsidR="003F450D" w:rsidRDefault="003F450D" w:rsidP="003F450D">
      <w:pPr>
        <w:pStyle w:val="ListParagraph"/>
        <w:numPr>
          <w:ilvl w:val="0"/>
          <w:numId w:val="11"/>
        </w:num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 xml:space="preserve">a </w:t>
      </w:r>
      <w:r w:rsidRPr="00BD4CF2">
        <w:rPr>
          <w:rFonts w:ascii="Arial" w:hAnsi="Arial" w:cs="Arial"/>
          <w:i/>
          <w:color w:val="192A67"/>
          <w:sz w:val="20"/>
          <w:szCs w:val="20"/>
          <w:lang w:val="en-US"/>
        </w:rPr>
        <w:t>specific lien</w:t>
      </w:r>
      <w:r>
        <w:rPr>
          <w:rFonts w:ascii="Arial" w:hAnsi="Arial" w:cs="Arial"/>
          <w:color w:val="192A67"/>
          <w:sz w:val="20"/>
          <w:szCs w:val="20"/>
          <w:lang w:val="en-US"/>
        </w:rPr>
        <w:t xml:space="preserve"> </w:t>
      </w:r>
      <w:r w:rsidR="00BD4CF2">
        <w:rPr>
          <w:rFonts w:ascii="Arial" w:hAnsi="Arial" w:cs="Arial"/>
          <w:color w:val="192A67"/>
          <w:sz w:val="20"/>
          <w:szCs w:val="20"/>
          <w:lang w:val="en-US"/>
        </w:rPr>
        <w:t>- being</w:t>
      </w:r>
      <w:r>
        <w:rPr>
          <w:rFonts w:ascii="Arial" w:hAnsi="Arial" w:cs="Arial"/>
          <w:color w:val="192A67"/>
          <w:sz w:val="20"/>
          <w:szCs w:val="20"/>
          <w:lang w:val="en-US"/>
        </w:rPr>
        <w:t xml:space="preserve"> the right to retain a particular</w:t>
      </w:r>
      <w:r w:rsidR="00BD4CF2">
        <w:rPr>
          <w:rFonts w:ascii="Arial" w:hAnsi="Arial" w:cs="Arial"/>
          <w:color w:val="192A67"/>
          <w:sz w:val="20"/>
          <w:szCs w:val="20"/>
          <w:lang w:val="en-US"/>
        </w:rPr>
        <w:t xml:space="preserve"> piece of property until the </w:t>
      </w:r>
      <w:r w:rsidR="00BD4CF2">
        <w:rPr>
          <w:rFonts w:ascii="Arial" w:hAnsi="Arial" w:cs="Arial"/>
          <w:color w:val="192A67"/>
          <w:sz w:val="20"/>
          <w:szCs w:val="20"/>
        </w:rPr>
        <w:t>client repays the amount owing to the member</w:t>
      </w:r>
      <w:r>
        <w:rPr>
          <w:rFonts w:ascii="Arial" w:hAnsi="Arial" w:cs="Arial"/>
          <w:color w:val="192A67"/>
          <w:sz w:val="20"/>
          <w:szCs w:val="20"/>
          <w:lang w:val="en-US"/>
        </w:rPr>
        <w:t>, and</w:t>
      </w:r>
    </w:p>
    <w:p w14:paraId="66CF7D3A" w14:textId="77777777" w:rsidR="003F450D" w:rsidRPr="003F450D" w:rsidRDefault="003F450D" w:rsidP="003F450D">
      <w:pPr>
        <w:pStyle w:val="ListParagraph"/>
        <w:numPr>
          <w:ilvl w:val="0"/>
          <w:numId w:val="11"/>
        </w:num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 xml:space="preserve">a </w:t>
      </w:r>
      <w:r w:rsidRPr="00BD4CF2">
        <w:rPr>
          <w:rFonts w:ascii="Arial" w:hAnsi="Arial" w:cs="Arial"/>
          <w:i/>
          <w:color w:val="192A67"/>
          <w:sz w:val="20"/>
          <w:szCs w:val="20"/>
          <w:lang w:val="en-US"/>
        </w:rPr>
        <w:t>general lien</w:t>
      </w:r>
      <w:r>
        <w:rPr>
          <w:rFonts w:ascii="Arial" w:hAnsi="Arial" w:cs="Arial"/>
          <w:color w:val="192A67"/>
          <w:sz w:val="20"/>
          <w:szCs w:val="20"/>
          <w:lang w:val="en-US"/>
        </w:rPr>
        <w:t xml:space="preserve"> </w:t>
      </w:r>
      <w:r w:rsidR="00BD4CF2">
        <w:rPr>
          <w:rFonts w:ascii="Arial" w:hAnsi="Arial" w:cs="Arial"/>
          <w:color w:val="192A67"/>
          <w:sz w:val="20"/>
          <w:szCs w:val="20"/>
          <w:lang w:val="en-US"/>
        </w:rPr>
        <w:t xml:space="preserve">- </w:t>
      </w:r>
      <w:r w:rsidR="00BD4CF2">
        <w:rPr>
          <w:rFonts w:ascii="Arial" w:hAnsi="Arial" w:cs="Arial"/>
          <w:color w:val="192A67"/>
          <w:sz w:val="20"/>
          <w:szCs w:val="20"/>
        </w:rPr>
        <w:t>being</w:t>
      </w:r>
      <w:r w:rsidRPr="003F450D">
        <w:rPr>
          <w:rFonts w:ascii="Arial" w:hAnsi="Arial" w:cs="Arial"/>
          <w:color w:val="192A67"/>
          <w:sz w:val="20"/>
          <w:szCs w:val="20"/>
        </w:rPr>
        <w:t xml:space="preserve"> the right of a particular class of persons (</w:t>
      </w:r>
      <w:proofErr w:type="spellStart"/>
      <w:r w:rsidR="00BD4CF2">
        <w:rPr>
          <w:rFonts w:ascii="Arial" w:hAnsi="Arial" w:cs="Arial"/>
          <w:color w:val="192A67"/>
          <w:sz w:val="20"/>
          <w:szCs w:val="20"/>
        </w:rPr>
        <w:t>eg</w:t>
      </w:r>
      <w:proofErr w:type="spellEnd"/>
      <w:r w:rsidR="00BD4CF2">
        <w:rPr>
          <w:rFonts w:ascii="Arial" w:hAnsi="Arial" w:cs="Arial"/>
          <w:color w:val="192A67"/>
          <w:sz w:val="20"/>
          <w:szCs w:val="20"/>
        </w:rPr>
        <w:t>:</w:t>
      </w:r>
      <w:r w:rsidRPr="003F450D">
        <w:rPr>
          <w:rFonts w:ascii="Arial" w:hAnsi="Arial" w:cs="Arial"/>
          <w:color w:val="192A67"/>
          <w:sz w:val="20"/>
          <w:szCs w:val="20"/>
        </w:rPr>
        <w:t xml:space="preserve"> solicitors, </w:t>
      </w:r>
      <w:proofErr w:type="gramStart"/>
      <w:r w:rsidRPr="003F450D">
        <w:rPr>
          <w:rFonts w:ascii="Arial" w:hAnsi="Arial" w:cs="Arial"/>
          <w:color w:val="192A67"/>
          <w:sz w:val="20"/>
          <w:szCs w:val="20"/>
        </w:rPr>
        <w:t>bankers</w:t>
      </w:r>
      <w:proofErr w:type="gramEnd"/>
      <w:r w:rsidRPr="003F450D">
        <w:rPr>
          <w:rFonts w:ascii="Arial" w:hAnsi="Arial" w:cs="Arial"/>
          <w:color w:val="192A67"/>
          <w:sz w:val="20"/>
          <w:szCs w:val="20"/>
        </w:rPr>
        <w:t xml:space="preserve"> or stockbrokers) to retain possession of property until the owner of the property has settled all their outstanding obligations to that class of person</w:t>
      </w:r>
      <w:r>
        <w:rPr>
          <w:rFonts w:ascii="Arial" w:hAnsi="Arial" w:cs="Arial"/>
          <w:color w:val="192A67"/>
          <w:sz w:val="20"/>
          <w:szCs w:val="20"/>
        </w:rPr>
        <w:t>s.</w:t>
      </w:r>
    </w:p>
    <w:p w14:paraId="66CF7D3B" w14:textId="77777777" w:rsidR="003F450D" w:rsidRDefault="003F450D" w:rsidP="003F450D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3C" w14:textId="77777777" w:rsidR="003F450D" w:rsidRDefault="003F450D" w:rsidP="003F450D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 xml:space="preserve">In most cases, </w:t>
      </w:r>
      <w:r w:rsidR="00BD4CF2">
        <w:rPr>
          <w:rFonts w:ascii="Arial" w:hAnsi="Arial" w:cs="Arial"/>
          <w:color w:val="192A67"/>
          <w:sz w:val="20"/>
          <w:szCs w:val="20"/>
          <w:lang w:val="en-US"/>
        </w:rPr>
        <w:t xml:space="preserve">IPA </w:t>
      </w:r>
      <w:r>
        <w:rPr>
          <w:rFonts w:ascii="Arial" w:hAnsi="Arial" w:cs="Arial"/>
          <w:color w:val="192A67"/>
          <w:sz w:val="20"/>
          <w:szCs w:val="20"/>
          <w:lang w:val="en-US"/>
        </w:rPr>
        <w:t>members will be invoking a specific lien</w:t>
      </w:r>
      <w:r w:rsidR="00BD4CF2">
        <w:rPr>
          <w:rFonts w:ascii="Arial" w:hAnsi="Arial" w:cs="Arial"/>
          <w:color w:val="192A67"/>
          <w:sz w:val="20"/>
          <w:szCs w:val="20"/>
          <w:lang w:val="en-US"/>
        </w:rPr>
        <w:t xml:space="preserve"> </w:t>
      </w:r>
      <w:proofErr w:type="spellStart"/>
      <w:r w:rsidR="00BD4CF2">
        <w:rPr>
          <w:rFonts w:ascii="Arial" w:hAnsi="Arial" w:cs="Arial"/>
          <w:color w:val="192A67"/>
          <w:sz w:val="20"/>
          <w:szCs w:val="20"/>
          <w:lang w:val="en-US"/>
        </w:rPr>
        <w:t>ov</w:t>
      </w:r>
      <w:proofErr w:type="spellEnd"/>
      <w:r w:rsidR="00BD4CF2" w:rsidRPr="00BD4CF2">
        <w:rPr>
          <w:rFonts w:ascii="Arial" w:hAnsi="Arial" w:cs="Arial"/>
          <w:color w:val="192A67"/>
          <w:sz w:val="20"/>
          <w:szCs w:val="20"/>
        </w:rPr>
        <w:t>er client property for outstanding professional fees</w:t>
      </w:r>
      <w:r>
        <w:rPr>
          <w:rFonts w:ascii="Arial" w:hAnsi="Arial" w:cs="Arial"/>
          <w:color w:val="192A67"/>
          <w:sz w:val="20"/>
          <w:szCs w:val="20"/>
          <w:lang w:val="en-US"/>
        </w:rPr>
        <w:t>.</w:t>
      </w:r>
    </w:p>
    <w:p w14:paraId="66CF7D3D" w14:textId="77777777" w:rsidR="00D93106" w:rsidRDefault="00D93106" w:rsidP="003F450D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3E" w14:textId="77777777" w:rsidR="001A6BA0" w:rsidRDefault="00BD4CF2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>T</w:t>
      </w:r>
      <w:r w:rsidR="003F450D">
        <w:rPr>
          <w:rFonts w:ascii="Arial" w:hAnsi="Arial" w:cs="Arial"/>
          <w:color w:val="192A67"/>
          <w:sz w:val="20"/>
          <w:szCs w:val="20"/>
          <w:lang w:val="en-US"/>
        </w:rPr>
        <w:t xml:space="preserve">o exercise a valid lien over client property, </w:t>
      </w:r>
      <w:r>
        <w:rPr>
          <w:rFonts w:ascii="Arial" w:hAnsi="Arial" w:cs="Arial"/>
          <w:color w:val="192A67"/>
          <w:sz w:val="20"/>
          <w:szCs w:val="20"/>
          <w:lang w:val="en-US"/>
        </w:rPr>
        <w:t>there are certain criteria that must be satisfied</w:t>
      </w:r>
      <w:r w:rsidR="003F450D">
        <w:rPr>
          <w:rFonts w:ascii="Arial" w:hAnsi="Arial" w:cs="Arial"/>
          <w:color w:val="192A67"/>
          <w:sz w:val="20"/>
          <w:szCs w:val="20"/>
          <w:lang w:val="en-US"/>
        </w:rPr>
        <w:t>:</w:t>
      </w:r>
    </w:p>
    <w:p w14:paraId="66CF7D3F" w14:textId="77777777" w:rsidR="003F450D" w:rsidRDefault="003F450D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40" w14:textId="77777777" w:rsidR="00053B66" w:rsidRPr="00135BB7" w:rsidRDefault="00053B66" w:rsidP="000F4CF3">
      <w:pPr>
        <w:pStyle w:val="ListParagraph"/>
        <w:numPr>
          <w:ilvl w:val="0"/>
          <w:numId w:val="12"/>
        </w:num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  <w:r w:rsidRPr="00053B66">
        <w:rPr>
          <w:rFonts w:ascii="Arial" w:hAnsi="Arial" w:cs="Arial"/>
          <w:color w:val="192A67"/>
          <w:sz w:val="20"/>
          <w:szCs w:val="20"/>
        </w:rPr>
        <w:t xml:space="preserve">The </w:t>
      </w:r>
      <w:r>
        <w:rPr>
          <w:rFonts w:ascii="Arial" w:hAnsi="Arial" w:cs="Arial"/>
          <w:color w:val="192A67"/>
          <w:sz w:val="20"/>
          <w:szCs w:val="20"/>
        </w:rPr>
        <w:t>member</w:t>
      </w:r>
      <w:r w:rsidRPr="00053B66">
        <w:rPr>
          <w:rFonts w:ascii="Arial" w:hAnsi="Arial" w:cs="Arial"/>
          <w:color w:val="192A67"/>
          <w:sz w:val="20"/>
          <w:szCs w:val="20"/>
        </w:rPr>
        <w:t xml:space="preserve"> must be claiming the lien in their own right, and not as agent of a third person</w:t>
      </w:r>
      <w:r>
        <w:rPr>
          <w:rFonts w:ascii="Arial" w:hAnsi="Arial" w:cs="Arial"/>
          <w:color w:val="192A67"/>
          <w:sz w:val="20"/>
          <w:szCs w:val="20"/>
        </w:rPr>
        <w:t>.</w:t>
      </w:r>
      <w:r w:rsidRPr="00053B66">
        <w:rPr>
          <w:rFonts w:ascii="Arial" w:hAnsi="Arial" w:cs="Arial"/>
          <w:color w:val="192A67"/>
          <w:sz w:val="20"/>
          <w:szCs w:val="20"/>
        </w:rPr>
        <w:t xml:space="preserve"> The lien must be in relation to a debt </w:t>
      </w:r>
      <w:r>
        <w:rPr>
          <w:rFonts w:ascii="Arial" w:hAnsi="Arial" w:cs="Arial"/>
          <w:color w:val="192A67"/>
          <w:sz w:val="20"/>
          <w:szCs w:val="20"/>
        </w:rPr>
        <w:t>owed by</w:t>
      </w:r>
      <w:r w:rsidRPr="00053B66">
        <w:rPr>
          <w:rFonts w:ascii="Arial" w:hAnsi="Arial" w:cs="Arial"/>
          <w:color w:val="192A67"/>
          <w:sz w:val="20"/>
          <w:szCs w:val="20"/>
        </w:rPr>
        <w:t xml:space="preserve"> the client to the </w:t>
      </w:r>
      <w:r>
        <w:rPr>
          <w:rFonts w:ascii="Arial" w:hAnsi="Arial" w:cs="Arial"/>
          <w:color w:val="192A67"/>
          <w:sz w:val="20"/>
          <w:szCs w:val="20"/>
        </w:rPr>
        <w:t>member</w:t>
      </w:r>
      <w:r w:rsidRPr="00053B66">
        <w:rPr>
          <w:rFonts w:ascii="Arial" w:hAnsi="Arial" w:cs="Arial"/>
          <w:color w:val="192A67"/>
          <w:sz w:val="20"/>
          <w:szCs w:val="20"/>
        </w:rPr>
        <w:t>. The client must be aware of the debt</w:t>
      </w:r>
      <w:r w:rsidR="007D7ED7">
        <w:rPr>
          <w:rFonts w:ascii="Arial" w:hAnsi="Arial" w:cs="Arial"/>
          <w:color w:val="192A67"/>
          <w:sz w:val="20"/>
          <w:szCs w:val="20"/>
        </w:rPr>
        <w:t>, and</w:t>
      </w:r>
    </w:p>
    <w:p w14:paraId="66CF7D41" w14:textId="77777777" w:rsidR="00053B66" w:rsidRPr="007D7ED7" w:rsidRDefault="00053B66" w:rsidP="007D7ED7">
      <w:pPr>
        <w:pStyle w:val="ListParagraph"/>
        <w:numPr>
          <w:ilvl w:val="0"/>
          <w:numId w:val="12"/>
        </w:num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  <w:r w:rsidRPr="007D7ED7">
        <w:rPr>
          <w:rFonts w:ascii="Arial" w:hAnsi="Arial" w:cs="Arial"/>
          <w:color w:val="192A67"/>
          <w:sz w:val="20"/>
          <w:szCs w:val="20"/>
        </w:rPr>
        <w:t xml:space="preserve">The </w:t>
      </w:r>
      <w:r w:rsidR="007D7ED7" w:rsidRPr="007D7ED7">
        <w:rPr>
          <w:rFonts w:ascii="Arial" w:hAnsi="Arial" w:cs="Arial"/>
          <w:color w:val="192A67"/>
          <w:sz w:val="20"/>
          <w:szCs w:val="20"/>
        </w:rPr>
        <w:t>member</w:t>
      </w:r>
      <w:r w:rsidRPr="007D7ED7">
        <w:rPr>
          <w:rFonts w:ascii="Arial" w:hAnsi="Arial" w:cs="Arial"/>
          <w:color w:val="192A67"/>
          <w:sz w:val="20"/>
          <w:szCs w:val="20"/>
        </w:rPr>
        <w:t xml:space="preserve"> must have possession of the client’s property</w:t>
      </w:r>
      <w:r w:rsidR="007D7ED7">
        <w:rPr>
          <w:rFonts w:ascii="Arial" w:hAnsi="Arial" w:cs="Arial"/>
          <w:color w:val="192A67"/>
          <w:sz w:val="20"/>
          <w:szCs w:val="20"/>
        </w:rPr>
        <w:t xml:space="preserve"> and </w:t>
      </w:r>
      <w:r w:rsidR="00F95936">
        <w:rPr>
          <w:rFonts w:ascii="Arial" w:hAnsi="Arial" w:cs="Arial"/>
          <w:color w:val="192A67"/>
          <w:sz w:val="20"/>
          <w:szCs w:val="20"/>
        </w:rPr>
        <w:t xml:space="preserve">it </w:t>
      </w:r>
      <w:r w:rsidR="007D7ED7">
        <w:rPr>
          <w:rFonts w:ascii="Arial" w:hAnsi="Arial" w:cs="Arial"/>
          <w:color w:val="192A67"/>
          <w:sz w:val="20"/>
          <w:szCs w:val="20"/>
        </w:rPr>
        <w:t>must</w:t>
      </w:r>
      <w:r w:rsidRPr="007D7ED7">
        <w:rPr>
          <w:rFonts w:ascii="Arial" w:hAnsi="Arial" w:cs="Arial"/>
          <w:color w:val="192A67"/>
          <w:sz w:val="20"/>
          <w:szCs w:val="20"/>
        </w:rPr>
        <w:t xml:space="preserve"> have been acquired </w:t>
      </w:r>
      <w:r w:rsidR="007D7ED7">
        <w:rPr>
          <w:rFonts w:ascii="Arial" w:hAnsi="Arial" w:cs="Arial"/>
          <w:color w:val="192A67"/>
          <w:sz w:val="20"/>
          <w:szCs w:val="20"/>
        </w:rPr>
        <w:t xml:space="preserve">from the client </w:t>
      </w:r>
      <w:r w:rsidRPr="007D7ED7">
        <w:rPr>
          <w:rFonts w:ascii="Arial" w:hAnsi="Arial" w:cs="Arial"/>
          <w:color w:val="192A67"/>
          <w:sz w:val="20"/>
          <w:szCs w:val="20"/>
        </w:rPr>
        <w:t>with th</w:t>
      </w:r>
      <w:r w:rsidR="007D7ED7">
        <w:rPr>
          <w:rFonts w:ascii="Arial" w:hAnsi="Arial" w:cs="Arial"/>
          <w:color w:val="192A67"/>
          <w:sz w:val="20"/>
          <w:szCs w:val="20"/>
        </w:rPr>
        <w:t>e consent of the client, and</w:t>
      </w:r>
    </w:p>
    <w:p w14:paraId="66CF7D42" w14:textId="77777777" w:rsidR="003F450D" w:rsidRPr="007D7ED7" w:rsidRDefault="00053B66" w:rsidP="007D7ED7">
      <w:pPr>
        <w:pStyle w:val="ListParagraph"/>
        <w:numPr>
          <w:ilvl w:val="0"/>
          <w:numId w:val="12"/>
        </w:num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 w:rsidRPr="007D7ED7">
        <w:rPr>
          <w:rFonts w:ascii="Arial" w:hAnsi="Arial" w:cs="Arial"/>
          <w:color w:val="192A67"/>
          <w:sz w:val="20"/>
          <w:szCs w:val="20"/>
        </w:rPr>
        <w:t>The debt must be connected to the property over which the lien is being claimed</w:t>
      </w:r>
      <w:r w:rsidR="00052E22">
        <w:rPr>
          <w:rFonts w:ascii="Arial" w:hAnsi="Arial" w:cs="Arial"/>
          <w:color w:val="192A67"/>
          <w:sz w:val="20"/>
          <w:szCs w:val="20"/>
        </w:rPr>
        <w:t>.</w:t>
      </w:r>
      <w:r w:rsidR="007D7ED7">
        <w:rPr>
          <w:rFonts w:ascii="Arial" w:hAnsi="Arial" w:cs="Arial"/>
          <w:color w:val="192A67"/>
          <w:sz w:val="20"/>
          <w:szCs w:val="20"/>
        </w:rPr>
        <w:t xml:space="preserve"> </w:t>
      </w:r>
      <w:r w:rsidRPr="007D7ED7">
        <w:rPr>
          <w:rFonts w:ascii="Arial" w:hAnsi="Arial" w:cs="Arial"/>
          <w:color w:val="192A67"/>
          <w:sz w:val="20"/>
          <w:szCs w:val="20"/>
        </w:rPr>
        <w:t xml:space="preserve"> For example, the property may be income tax returns which the </w:t>
      </w:r>
      <w:r w:rsidR="007D7ED7">
        <w:rPr>
          <w:rFonts w:ascii="Arial" w:hAnsi="Arial" w:cs="Arial"/>
          <w:color w:val="192A67"/>
          <w:sz w:val="20"/>
          <w:szCs w:val="20"/>
        </w:rPr>
        <w:t>member</w:t>
      </w:r>
      <w:r w:rsidRPr="007D7ED7">
        <w:rPr>
          <w:rFonts w:ascii="Arial" w:hAnsi="Arial" w:cs="Arial"/>
          <w:color w:val="192A67"/>
          <w:sz w:val="20"/>
          <w:szCs w:val="20"/>
        </w:rPr>
        <w:t xml:space="preserve"> has prepared for lodgement with the A</w:t>
      </w:r>
      <w:r w:rsidR="007D7ED7">
        <w:rPr>
          <w:rFonts w:ascii="Arial" w:hAnsi="Arial" w:cs="Arial"/>
          <w:color w:val="192A67"/>
          <w:sz w:val="20"/>
          <w:szCs w:val="20"/>
        </w:rPr>
        <w:t xml:space="preserve">ustralian Taxation Office </w:t>
      </w:r>
      <w:r w:rsidRPr="007D7ED7">
        <w:rPr>
          <w:rFonts w:ascii="Arial" w:hAnsi="Arial" w:cs="Arial"/>
          <w:color w:val="192A67"/>
          <w:sz w:val="20"/>
          <w:szCs w:val="20"/>
        </w:rPr>
        <w:t xml:space="preserve">and </w:t>
      </w:r>
      <w:r w:rsidR="007D7ED7" w:rsidRPr="007D7ED7">
        <w:rPr>
          <w:rFonts w:ascii="Arial" w:hAnsi="Arial" w:cs="Arial"/>
          <w:color w:val="192A67"/>
          <w:sz w:val="20"/>
          <w:szCs w:val="20"/>
        </w:rPr>
        <w:t>the outstanding fees relate to the preparation</w:t>
      </w:r>
      <w:r w:rsidR="00052E22">
        <w:rPr>
          <w:rFonts w:ascii="Arial" w:hAnsi="Arial" w:cs="Arial"/>
          <w:color w:val="192A67"/>
          <w:sz w:val="20"/>
          <w:szCs w:val="20"/>
        </w:rPr>
        <w:t xml:space="preserve"> and lodgement of those returns.</w:t>
      </w:r>
    </w:p>
    <w:p w14:paraId="66CF7D43" w14:textId="77777777" w:rsidR="003F450D" w:rsidRDefault="003F450D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44" w14:textId="77777777" w:rsidR="00135BB7" w:rsidRDefault="00135BB7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45" w14:textId="77777777" w:rsidR="003F450D" w:rsidRDefault="005F6791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>Property that can be subject to a lien are:</w:t>
      </w:r>
    </w:p>
    <w:p w14:paraId="66CF7D46" w14:textId="77777777" w:rsidR="005F6791" w:rsidRDefault="005F6791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47" w14:textId="77777777" w:rsidR="005F6791" w:rsidRPr="005F6791" w:rsidRDefault="005F6791" w:rsidP="005F6791">
      <w:pPr>
        <w:pStyle w:val="ListParagraph"/>
        <w:numPr>
          <w:ilvl w:val="0"/>
          <w:numId w:val="13"/>
        </w:num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</w:rPr>
        <w:t>P</w:t>
      </w:r>
      <w:r w:rsidRPr="005F6791">
        <w:rPr>
          <w:rFonts w:ascii="Arial" w:hAnsi="Arial" w:cs="Arial"/>
          <w:color w:val="192A67"/>
          <w:sz w:val="20"/>
          <w:szCs w:val="20"/>
        </w:rPr>
        <w:t xml:space="preserve">roperty upon which </w:t>
      </w:r>
      <w:r>
        <w:rPr>
          <w:rFonts w:ascii="Arial" w:hAnsi="Arial" w:cs="Arial"/>
          <w:color w:val="192A67"/>
          <w:sz w:val="20"/>
          <w:szCs w:val="20"/>
        </w:rPr>
        <w:t>a member</w:t>
      </w:r>
      <w:r w:rsidRPr="005F6791">
        <w:rPr>
          <w:rFonts w:ascii="Arial" w:hAnsi="Arial" w:cs="Arial"/>
          <w:color w:val="192A67"/>
          <w:sz w:val="20"/>
          <w:szCs w:val="20"/>
        </w:rPr>
        <w:t xml:space="preserve"> have expended labour and made more valuable</w:t>
      </w:r>
      <w:r>
        <w:rPr>
          <w:rFonts w:ascii="Arial" w:hAnsi="Arial" w:cs="Arial"/>
          <w:color w:val="192A67"/>
          <w:sz w:val="20"/>
          <w:szCs w:val="20"/>
        </w:rPr>
        <w:t xml:space="preserve"> such as a</w:t>
      </w:r>
      <w:r w:rsidRPr="005F6791">
        <w:rPr>
          <w:rFonts w:ascii="Arial" w:hAnsi="Arial" w:cs="Arial"/>
          <w:color w:val="192A67"/>
          <w:sz w:val="20"/>
          <w:szCs w:val="20"/>
        </w:rPr>
        <w:t xml:space="preserve"> general ledger, balance sh</w:t>
      </w:r>
      <w:r>
        <w:rPr>
          <w:rFonts w:ascii="Arial" w:hAnsi="Arial" w:cs="Arial"/>
          <w:color w:val="192A67"/>
          <w:sz w:val="20"/>
          <w:szCs w:val="20"/>
        </w:rPr>
        <w:t>eet and draft income tax return,</w:t>
      </w:r>
    </w:p>
    <w:p w14:paraId="66CF7D48" w14:textId="0ACCF270" w:rsidR="005F6791" w:rsidRPr="00F95936" w:rsidRDefault="005F6791" w:rsidP="00F95936">
      <w:pPr>
        <w:pStyle w:val="ListParagraph"/>
        <w:numPr>
          <w:ilvl w:val="0"/>
          <w:numId w:val="13"/>
        </w:num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</w:rPr>
        <w:t>E</w:t>
      </w:r>
      <w:r w:rsidRPr="005F6791">
        <w:rPr>
          <w:rFonts w:ascii="Arial" w:hAnsi="Arial" w:cs="Arial"/>
          <w:color w:val="192A67"/>
          <w:sz w:val="20"/>
          <w:szCs w:val="20"/>
        </w:rPr>
        <w:t xml:space="preserve">lectronic property such as a software data file that a </w:t>
      </w:r>
      <w:r>
        <w:rPr>
          <w:rFonts w:ascii="Arial" w:hAnsi="Arial" w:cs="Arial"/>
          <w:color w:val="192A67"/>
          <w:sz w:val="20"/>
          <w:szCs w:val="20"/>
        </w:rPr>
        <w:t>member</w:t>
      </w:r>
      <w:r w:rsidRPr="005F6791">
        <w:rPr>
          <w:rFonts w:ascii="Arial" w:hAnsi="Arial" w:cs="Arial"/>
          <w:color w:val="192A67"/>
          <w:sz w:val="20"/>
          <w:szCs w:val="20"/>
        </w:rPr>
        <w:t xml:space="preserve"> has expended labour and made more valuable</w:t>
      </w:r>
      <w:r w:rsidR="00E43290">
        <w:rPr>
          <w:rFonts w:ascii="Arial" w:hAnsi="Arial" w:cs="Arial"/>
          <w:color w:val="192A67"/>
          <w:sz w:val="20"/>
          <w:szCs w:val="20"/>
        </w:rPr>
        <w:t>.</w:t>
      </w:r>
    </w:p>
    <w:p w14:paraId="66CF7D49" w14:textId="77777777" w:rsidR="007F5205" w:rsidRDefault="007F5205" w:rsidP="005F6791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4A" w14:textId="77777777" w:rsidR="005F6791" w:rsidRDefault="005F6791" w:rsidP="005F6791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>Property that cannot be subject to a lien are:</w:t>
      </w:r>
    </w:p>
    <w:p w14:paraId="66CF7D4B" w14:textId="77777777" w:rsidR="005F6791" w:rsidRDefault="005F6791" w:rsidP="005F6791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4C" w14:textId="77777777" w:rsidR="005F6791" w:rsidRPr="00F95936" w:rsidRDefault="005F6791" w:rsidP="000F4CF3">
      <w:pPr>
        <w:pStyle w:val="ListParagraph"/>
        <w:numPr>
          <w:ilvl w:val="0"/>
          <w:numId w:val="13"/>
        </w:num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</w:rPr>
        <w:t>Invoices or</w:t>
      </w:r>
      <w:r w:rsidRPr="005F6791">
        <w:rPr>
          <w:rFonts w:ascii="Arial" w:hAnsi="Arial" w:cs="Arial"/>
          <w:color w:val="192A67"/>
          <w:sz w:val="20"/>
          <w:szCs w:val="20"/>
        </w:rPr>
        <w:t xml:space="preserve"> sales journal</w:t>
      </w:r>
      <w:r>
        <w:rPr>
          <w:rFonts w:ascii="Arial" w:hAnsi="Arial" w:cs="Arial"/>
          <w:color w:val="192A67"/>
          <w:sz w:val="20"/>
          <w:szCs w:val="20"/>
        </w:rPr>
        <w:t>s</w:t>
      </w:r>
      <w:r w:rsidRPr="005F6791">
        <w:rPr>
          <w:rFonts w:ascii="Arial" w:hAnsi="Arial" w:cs="Arial"/>
          <w:color w:val="192A67"/>
          <w:sz w:val="20"/>
          <w:szCs w:val="20"/>
        </w:rPr>
        <w:t xml:space="preserve"> where those documents are provided to the </w:t>
      </w:r>
      <w:r>
        <w:rPr>
          <w:rFonts w:ascii="Arial" w:hAnsi="Arial" w:cs="Arial"/>
          <w:color w:val="192A67"/>
          <w:sz w:val="20"/>
          <w:szCs w:val="20"/>
        </w:rPr>
        <w:t>member</w:t>
      </w:r>
      <w:r w:rsidRPr="005F6791">
        <w:rPr>
          <w:rFonts w:ascii="Arial" w:hAnsi="Arial" w:cs="Arial"/>
          <w:color w:val="192A67"/>
          <w:sz w:val="20"/>
          <w:szCs w:val="20"/>
        </w:rPr>
        <w:t xml:space="preserve"> only for checking and </w:t>
      </w:r>
      <w:r>
        <w:rPr>
          <w:rFonts w:ascii="Arial" w:hAnsi="Arial" w:cs="Arial"/>
          <w:color w:val="192A67"/>
          <w:sz w:val="20"/>
          <w:szCs w:val="20"/>
        </w:rPr>
        <w:t xml:space="preserve">are not subject to any value add as a </w:t>
      </w:r>
      <w:r w:rsidRPr="005F6791">
        <w:rPr>
          <w:rFonts w:ascii="Arial" w:hAnsi="Arial" w:cs="Arial"/>
          <w:color w:val="192A67"/>
          <w:sz w:val="20"/>
          <w:szCs w:val="20"/>
        </w:rPr>
        <w:t xml:space="preserve">result of the </w:t>
      </w:r>
      <w:r>
        <w:rPr>
          <w:rFonts w:ascii="Arial" w:hAnsi="Arial" w:cs="Arial"/>
          <w:color w:val="192A67"/>
          <w:sz w:val="20"/>
          <w:szCs w:val="20"/>
        </w:rPr>
        <w:t>member</w:t>
      </w:r>
      <w:r w:rsidRPr="005F6791">
        <w:rPr>
          <w:rFonts w:ascii="Arial" w:hAnsi="Arial" w:cs="Arial"/>
          <w:color w:val="192A67"/>
          <w:sz w:val="20"/>
          <w:szCs w:val="20"/>
        </w:rPr>
        <w:t xml:space="preserve"> labour</w:t>
      </w:r>
      <w:r>
        <w:rPr>
          <w:rFonts w:ascii="Arial" w:hAnsi="Arial" w:cs="Arial"/>
          <w:color w:val="192A67"/>
          <w:sz w:val="20"/>
          <w:szCs w:val="20"/>
        </w:rPr>
        <w:t>,</w:t>
      </w:r>
    </w:p>
    <w:p w14:paraId="66CF7D4D" w14:textId="77777777" w:rsidR="009A19E4" w:rsidRDefault="009A19E4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4E" w14:textId="77777777" w:rsidR="009A19E4" w:rsidRDefault="009A19E4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>Information Sheet 02/2011</w:t>
      </w:r>
      <w:r w:rsidRPr="009A19E4">
        <w:rPr>
          <w:rFonts w:ascii="Arial" w:hAnsi="Arial" w:cs="Arial"/>
          <w:color w:val="192A67"/>
          <w:sz w:val="20"/>
          <w:szCs w:val="20"/>
        </w:rPr>
        <w:t xml:space="preserve"> </w:t>
      </w:r>
      <w:r>
        <w:rPr>
          <w:rFonts w:ascii="Arial" w:hAnsi="Arial" w:cs="Arial"/>
          <w:color w:val="192A67"/>
          <w:sz w:val="20"/>
          <w:szCs w:val="20"/>
        </w:rPr>
        <w:t>also states that the</w:t>
      </w:r>
      <w:r w:rsidRPr="00551795">
        <w:rPr>
          <w:rFonts w:ascii="Arial" w:hAnsi="Arial" w:cs="Arial"/>
          <w:color w:val="192A67"/>
          <w:sz w:val="20"/>
          <w:szCs w:val="20"/>
        </w:rPr>
        <w:t xml:space="preserve"> Engagement Document should </w:t>
      </w:r>
      <w:r>
        <w:rPr>
          <w:rFonts w:ascii="Arial" w:hAnsi="Arial" w:cs="Arial"/>
          <w:color w:val="192A67"/>
          <w:sz w:val="20"/>
          <w:szCs w:val="20"/>
        </w:rPr>
        <w:t>clearly state</w:t>
      </w:r>
      <w:r w:rsidRPr="00551795">
        <w:rPr>
          <w:rFonts w:ascii="Arial" w:hAnsi="Arial" w:cs="Arial"/>
          <w:color w:val="192A67"/>
          <w:sz w:val="20"/>
          <w:szCs w:val="20"/>
        </w:rPr>
        <w:t xml:space="preserve"> who owns</w:t>
      </w:r>
      <w:r>
        <w:rPr>
          <w:rFonts w:ascii="Arial" w:hAnsi="Arial" w:cs="Arial"/>
          <w:color w:val="192A67"/>
          <w:sz w:val="20"/>
          <w:szCs w:val="20"/>
        </w:rPr>
        <w:t xml:space="preserve"> client related documents.  </w:t>
      </w:r>
    </w:p>
    <w:p w14:paraId="66CF7D4F" w14:textId="77777777" w:rsidR="009A19E4" w:rsidRDefault="009A19E4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</w:p>
    <w:p w14:paraId="66CF7D50" w14:textId="77777777" w:rsidR="003F450D" w:rsidRDefault="009A19E4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 xml:space="preserve">Subject to an agreement to the contrary, the following documents are usually </w:t>
      </w:r>
      <w:r w:rsidR="00F95936">
        <w:rPr>
          <w:rFonts w:ascii="Arial" w:hAnsi="Arial" w:cs="Arial"/>
          <w:color w:val="192A67"/>
          <w:sz w:val="20"/>
          <w:szCs w:val="20"/>
        </w:rPr>
        <w:t>owned by</w:t>
      </w:r>
      <w:r>
        <w:rPr>
          <w:rFonts w:ascii="Arial" w:hAnsi="Arial" w:cs="Arial"/>
          <w:color w:val="192A67"/>
          <w:sz w:val="20"/>
          <w:szCs w:val="20"/>
        </w:rPr>
        <w:t xml:space="preserve"> </w:t>
      </w:r>
      <w:r w:rsidR="00F95936">
        <w:rPr>
          <w:rFonts w:ascii="Arial" w:hAnsi="Arial" w:cs="Arial"/>
          <w:color w:val="192A67"/>
          <w:sz w:val="20"/>
          <w:szCs w:val="20"/>
        </w:rPr>
        <w:t>the client</w:t>
      </w:r>
      <w:r>
        <w:rPr>
          <w:rFonts w:ascii="Arial" w:hAnsi="Arial" w:cs="Arial"/>
          <w:color w:val="192A67"/>
          <w:sz w:val="20"/>
          <w:szCs w:val="20"/>
        </w:rPr>
        <w:t>:</w:t>
      </w:r>
    </w:p>
    <w:p w14:paraId="66CF7D51" w14:textId="77777777" w:rsidR="009A19E4" w:rsidRDefault="009A19E4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</w:p>
    <w:p w14:paraId="66CF7D52" w14:textId="77777777" w:rsidR="009A19E4" w:rsidRPr="009A19E4" w:rsidRDefault="009A19E4" w:rsidP="009A19E4">
      <w:pPr>
        <w:pStyle w:val="ListParagraph"/>
        <w:numPr>
          <w:ilvl w:val="0"/>
          <w:numId w:val="13"/>
        </w:num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 w:rsidRPr="009A19E4">
        <w:rPr>
          <w:rFonts w:ascii="Arial" w:hAnsi="Arial" w:cs="Arial"/>
          <w:color w:val="192A67"/>
          <w:sz w:val="20"/>
          <w:szCs w:val="20"/>
        </w:rPr>
        <w:t>source documents – such as ledgers, receipts, invoices or journals</w:t>
      </w:r>
      <w:r>
        <w:rPr>
          <w:rFonts w:ascii="Arial" w:hAnsi="Arial" w:cs="Arial"/>
          <w:color w:val="192A67"/>
          <w:sz w:val="20"/>
          <w:szCs w:val="20"/>
        </w:rPr>
        <w:t>,</w:t>
      </w:r>
    </w:p>
    <w:p w14:paraId="66CF7D53" w14:textId="77777777" w:rsidR="009A19E4" w:rsidRPr="009A19E4" w:rsidRDefault="009A19E4" w:rsidP="009A19E4">
      <w:pPr>
        <w:pStyle w:val="ListParagraph"/>
        <w:numPr>
          <w:ilvl w:val="0"/>
          <w:numId w:val="13"/>
        </w:num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 w:rsidRPr="009A19E4">
        <w:rPr>
          <w:rFonts w:ascii="Arial" w:hAnsi="Arial" w:cs="Arial"/>
          <w:color w:val="192A67"/>
          <w:sz w:val="20"/>
          <w:szCs w:val="20"/>
        </w:rPr>
        <w:t>correspondence between the ATO and the client and notices of assessment; and</w:t>
      </w:r>
    </w:p>
    <w:p w14:paraId="66CF7D54" w14:textId="77777777" w:rsidR="009A19E4" w:rsidRPr="009A19E4" w:rsidRDefault="009A19E4" w:rsidP="009A19E4">
      <w:pPr>
        <w:pStyle w:val="ListParagraph"/>
        <w:numPr>
          <w:ilvl w:val="0"/>
          <w:numId w:val="13"/>
        </w:num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proofErr w:type="spellStart"/>
      <w:proofErr w:type="gramStart"/>
      <w:r w:rsidRPr="009A19E4">
        <w:rPr>
          <w:rFonts w:ascii="Arial" w:hAnsi="Arial" w:cs="Arial"/>
          <w:color w:val="192A67"/>
          <w:sz w:val="20"/>
          <w:szCs w:val="20"/>
        </w:rPr>
        <w:t>letter</w:t>
      </w:r>
      <w:r w:rsidR="00F95936">
        <w:rPr>
          <w:rFonts w:ascii="Arial" w:hAnsi="Arial" w:cs="Arial"/>
          <w:color w:val="192A67"/>
          <w:sz w:val="20"/>
          <w:szCs w:val="20"/>
        </w:rPr>
        <w:t>’</w:t>
      </w:r>
      <w:r w:rsidRPr="009A19E4">
        <w:rPr>
          <w:rFonts w:ascii="Arial" w:hAnsi="Arial" w:cs="Arial"/>
          <w:color w:val="192A67"/>
          <w:sz w:val="20"/>
          <w:szCs w:val="20"/>
        </w:rPr>
        <w:t>s</w:t>
      </w:r>
      <w:proofErr w:type="spellEnd"/>
      <w:proofErr w:type="gramEnd"/>
      <w:r w:rsidRPr="009A19E4">
        <w:rPr>
          <w:rFonts w:ascii="Arial" w:hAnsi="Arial" w:cs="Arial"/>
          <w:color w:val="192A67"/>
          <w:sz w:val="20"/>
          <w:szCs w:val="20"/>
        </w:rPr>
        <w:t xml:space="preserve"> of advice, books of accounts, tax returns and financial statements prepared by </w:t>
      </w:r>
      <w:r w:rsidR="00F95936">
        <w:rPr>
          <w:rFonts w:ascii="Arial" w:hAnsi="Arial" w:cs="Arial"/>
          <w:color w:val="192A67"/>
          <w:sz w:val="20"/>
          <w:szCs w:val="20"/>
        </w:rPr>
        <w:t>a</w:t>
      </w:r>
      <w:r w:rsidRPr="009A19E4">
        <w:rPr>
          <w:rFonts w:ascii="Arial" w:hAnsi="Arial" w:cs="Arial"/>
          <w:color w:val="192A67"/>
          <w:sz w:val="20"/>
          <w:szCs w:val="20"/>
        </w:rPr>
        <w:t xml:space="preserve"> </w:t>
      </w:r>
      <w:r w:rsidR="00F95936">
        <w:rPr>
          <w:rFonts w:ascii="Arial" w:hAnsi="Arial" w:cs="Arial"/>
          <w:color w:val="192A67"/>
          <w:sz w:val="20"/>
          <w:szCs w:val="20"/>
        </w:rPr>
        <w:t>member</w:t>
      </w:r>
      <w:r w:rsidRPr="009A19E4">
        <w:rPr>
          <w:rFonts w:ascii="Arial" w:hAnsi="Arial" w:cs="Arial"/>
          <w:color w:val="192A67"/>
          <w:sz w:val="20"/>
          <w:szCs w:val="20"/>
        </w:rPr>
        <w:t xml:space="preserve"> for the client (once paid for)</w:t>
      </w:r>
      <w:r>
        <w:rPr>
          <w:rFonts w:ascii="Arial" w:hAnsi="Arial" w:cs="Arial"/>
          <w:color w:val="192A67"/>
          <w:sz w:val="20"/>
          <w:szCs w:val="20"/>
        </w:rPr>
        <w:t>.</w:t>
      </w:r>
    </w:p>
    <w:p w14:paraId="66CF7D55" w14:textId="77777777" w:rsidR="003F450D" w:rsidRDefault="003F450D" w:rsidP="000F4CF3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56" w14:textId="77777777" w:rsidR="009A19E4" w:rsidRDefault="009A19E4" w:rsidP="009A19E4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  <w:r>
        <w:rPr>
          <w:rFonts w:ascii="Arial" w:hAnsi="Arial" w:cs="Arial"/>
          <w:color w:val="192A67"/>
          <w:sz w:val="20"/>
          <w:szCs w:val="20"/>
        </w:rPr>
        <w:t>Subject to an agreement to the contrary, the following documents are usually considered the members:</w:t>
      </w:r>
    </w:p>
    <w:p w14:paraId="66CF7D57" w14:textId="77777777" w:rsidR="009A19E4" w:rsidRDefault="009A19E4" w:rsidP="009A19E4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</w:rPr>
      </w:pPr>
    </w:p>
    <w:p w14:paraId="66CF7D58" w14:textId="77777777" w:rsidR="009A19E4" w:rsidRPr="00F95936" w:rsidRDefault="009A19E4" w:rsidP="009A19E4">
      <w:pPr>
        <w:pStyle w:val="ListParagraph"/>
        <w:numPr>
          <w:ilvl w:val="0"/>
          <w:numId w:val="13"/>
        </w:num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 w:rsidRPr="009A19E4">
        <w:rPr>
          <w:rFonts w:ascii="Arial" w:hAnsi="Arial" w:cs="Arial"/>
          <w:color w:val="192A67"/>
          <w:sz w:val="20"/>
          <w:szCs w:val="20"/>
        </w:rPr>
        <w:t xml:space="preserve">Working documents of the </w:t>
      </w:r>
      <w:r w:rsidR="00F95936">
        <w:rPr>
          <w:rFonts w:ascii="Arial" w:hAnsi="Arial" w:cs="Arial"/>
          <w:color w:val="192A67"/>
          <w:sz w:val="20"/>
          <w:szCs w:val="20"/>
        </w:rPr>
        <w:t>member</w:t>
      </w:r>
      <w:r w:rsidRPr="009A19E4">
        <w:rPr>
          <w:rFonts w:ascii="Arial" w:hAnsi="Arial" w:cs="Arial"/>
          <w:color w:val="192A67"/>
          <w:sz w:val="20"/>
          <w:szCs w:val="20"/>
        </w:rPr>
        <w:t xml:space="preserve"> would not belong to the client unless the client specifically instructed the </w:t>
      </w:r>
      <w:r w:rsidR="00F95936">
        <w:rPr>
          <w:rFonts w:ascii="Arial" w:hAnsi="Arial" w:cs="Arial"/>
          <w:color w:val="192A67"/>
          <w:sz w:val="20"/>
          <w:szCs w:val="20"/>
        </w:rPr>
        <w:t>member</w:t>
      </w:r>
      <w:r w:rsidRPr="009A19E4">
        <w:rPr>
          <w:rFonts w:ascii="Arial" w:hAnsi="Arial" w:cs="Arial"/>
          <w:color w:val="192A67"/>
          <w:sz w:val="20"/>
          <w:szCs w:val="20"/>
        </w:rPr>
        <w:t xml:space="preserve"> to prepare such drafts for them and had paid for them</w:t>
      </w:r>
      <w:r>
        <w:rPr>
          <w:rFonts w:ascii="Arial" w:hAnsi="Arial" w:cs="Arial"/>
          <w:color w:val="192A67"/>
          <w:sz w:val="20"/>
          <w:szCs w:val="20"/>
        </w:rPr>
        <w:t>.</w:t>
      </w:r>
    </w:p>
    <w:p w14:paraId="66CF7D59" w14:textId="77777777" w:rsidR="00F95936" w:rsidRDefault="00F95936" w:rsidP="00F95936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5A" w14:textId="77777777" w:rsidR="00F95936" w:rsidRDefault="00F95936" w:rsidP="00F95936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5B" w14:textId="77777777" w:rsidR="00F95936" w:rsidRDefault="00F95936" w:rsidP="00F95936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>The IPA have a full suite of Engagement Documents for member</w:t>
      </w:r>
      <w:r w:rsidR="00E43290">
        <w:rPr>
          <w:rFonts w:ascii="Arial" w:hAnsi="Arial" w:cs="Arial"/>
          <w:color w:val="192A67"/>
          <w:sz w:val="20"/>
          <w:szCs w:val="20"/>
          <w:lang w:val="en-US"/>
        </w:rPr>
        <w:t>s</w:t>
      </w:r>
      <w:r>
        <w:rPr>
          <w:rFonts w:ascii="Arial" w:hAnsi="Arial" w:cs="Arial"/>
          <w:color w:val="192A67"/>
          <w:sz w:val="20"/>
          <w:szCs w:val="20"/>
          <w:lang w:val="en-US"/>
        </w:rPr>
        <w:t xml:space="preserve"> to use under </w:t>
      </w:r>
      <w:r w:rsidR="003C4F95">
        <w:rPr>
          <w:rFonts w:ascii="Arial" w:hAnsi="Arial" w:cs="Arial"/>
          <w:color w:val="192A67"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color w:val="192A67"/>
          <w:sz w:val="20"/>
          <w:szCs w:val="20"/>
          <w:lang w:val="en-US"/>
        </w:rPr>
        <w:t>Practice Management Tool section of the website</w:t>
      </w:r>
      <w:r w:rsidR="003C4F95">
        <w:rPr>
          <w:rFonts w:ascii="Arial" w:hAnsi="Arial" w:cs="Arial"/>
          <w:color w:val="192A67"/>
          <w:sz w:val="20"/>
          <w:szCs w:val="20"/>
          <w:lang w:val="en-US"/>
        </w:rPr>
        <w:t xml:space="preserve">.  </w:t>
      </w:r>
      <w:r>
        <w:rPr>
          <w:rFonts w:ascii="Arial" w:hAnsi="Arial" w:cs="Arial"/>
          <w:color w:val="192A67"/>
          <w:sz w:val="20"/>
          <w:szCs w:val="20"/>
          <w:lang w:val="en-US"/>
        </w:rPr>
        <w:t xml:space="preserve">These </w:t>
      </w:r>
      <w:r>
        <w:rPr>
          <w:rFonts w:ascii="Arial" w:hAnsi="Arial" w:cs="Arial"/>
          <w:bCs/>
          <w:color w:val="192A67"/>
          <w:sz w:val="20"/>
          <w:szCs w:val="20"/>
        </w:rPr>
        <w:t>can be viewed at the following address</w:t>
      </w:r>
      <w:r>
        <w:rPr>
          <w:rFonts w:ascii="Arial" w:hAnsi="Arial" w:cs="Arial"/>
          <w:color w:val="192A67"/>
          <w:sz w:val="20"/>
          <w:szCs w:val="20"/>
          <w:lang w:val="en-US"/>
        </w:rPr>
        <w:t xml:space="preserve">: </w:t>
      </w:r>
      <w:hyperlink r:id="rId13" w:history="1">
        <w:r w:rsidRPr="00713C66">
          <w:rPr>
            <w:rStyle w:val="Hyperlink"/>
            <w:rFonts w:ascii="Arial" w:hAnsi="Arial" w:cs="Arial"/>
            <w:sz w:val="20"/>
            <w:szCs w:val="20"/>
            <w:lang w:val="en-US"/>
          </w:rPr>
          <w:t>https://www.publicaccountants.org.au/resources/templates</w:t>
        </w:r>
      </w:hyperlink>
    </w:p>
    <w:p w14:paraId="66CF7D5C" w14:textId="77777777" w:rsidR="003C4F95" w:rsidRDefault="003C4F95" w:rsidP="00F95936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5D" w14:textId="77777777" w:rsidR="003C4F95" w:rsidRDefault="003C4F95" w:rsidP="00F95936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  <w:r>
        <w:rPr>
          <w:rFonts w:ascii="Arial" w:hAnsi="Arial" w:cs="Arial"/>
          <w:color w:val="192A67"/>
          <w:sz w:val="20"/>
          <w:szCs w:val="20"/>
          <w:lang w:val="en-US"/>
        </w:rPr>
        <w:t>Members are also encouraged to seek independent legal advice about the suitability of the IPA Engagement Documents to their business.</w:t>
      </w:r>
    </w:p>
    <w:p w14:paraId="66CF7D5E" w14:textId="77777777" w:rsidR="00F95936" w:rsidRPr="00F95936" w:rsidRDefault="00F95936" w:rsidP="00F95936">
      <w:pPr>
        <w:tabs>
          <w:tab w:val="left" w:pos="9072"/>
        </w:tabs>
        <w:spacing w:after="0"/>
        <w:ind w:right="95"/>
        <w:rPr>
          <w:rFonts w:ascii="Arial" w:hAnsi="Arial" w:cs="Arial"/>
          <w:color w:val="192A67"/>
          <w:sz w:val="20"/>
          <w:szCs w:val="20"/>
          <w:lang w:val="en-US"/>
        </w:rPr>
      </w:pPr>
    </w:p>
    <w:p w14:paraId="66CF7D5F" w14:textId="77777777" w:rsidR="00C075E8" w:rsidRPr="00F2424D" w:rsidRDefault="00C075E8" w:rsidP="000F4CF3">
      <w:pPr>
        <w:tabs>
          <w:tab w:val="left" w:pos="9072"/>
        </w:tabs>
        <w:spacing w:after="0"/>
        <w:ind w:right="95"/>
        <w:rPr>
          <w:rFonts w:ascii="Arial" w:hAnsi="Arial" w:cs="Arial"/>
          <w:b/>
          <w:color w:val="192A67"/>
          <w:sz w:val="24"/>
          <w:szCs w:val="24"/>
        </w:rPr>
      </w:pPr>
    </w:p>
    <w:sectPr w:rsidR="00C075E8" w:rsidRPr="00F2424D">
      <w:headerReference w:type="default" r:id="rId14"/>
      <w:footerReference w:type="even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7D64" w14:textId="77777777" w:rsidR="00061C7A" w:rsidRDefault="00061C7A" w:rsidP="00380147">
      <w:pPr>
        <w:spacing w:after="0" w:line="240" w:lineRule="auto"/>
      </w:pPr>
      <w:r>
        <w:separator/>
      </w:r>
    </w:p>
  </w:endnote>
  <w:endnote w:type="continuationSeparator" w:id="0">
    <w:p w14:paraId="66CF7D65" w14:textId="77777777" w:rsidR="00061C7A" w:rsidRDefault="00061C7A" w:rsidP="0038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2B43" w14:textId="46952F92" w:rsidR="00154F46" w:rsidRDefault="00154F4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44EBE97" wp14:editId="751404F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7620"/>
              <wp:wrapSquare wrapText="bothSides"/>
              <wp:docPr id="4" name="Text Box 4" descr="IPA/IFA - 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21FA1" w14:textId="35F44B1D" w:rsidR="00154F46" w:rsidRPr="00154F46" w:rsidRDefault="00154F4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154F46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 xml:space="preserve">IPA/IFA </w:t>
                          </w:r>
                          <w:proofErr w:type="gramStart"/>
                          <w:r w:rsidRPr="00154F46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>-  General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EBE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IPA/IFA -  Gener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" filled="f" stroked="f">
              <v:textbox style="mso-fit-shape-to-text:t" inset="0,0,0,0">
                <w:txbxContent>
                  <w:p w14:paraId="78321FA1" w14:textId="35F44B1D" w:rsidR="00154F46" w:rsidRPr="00154F46" w:rsidRDefault="00154F46">
                    <w:pPr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</w:pPr>
                    <w:r w:rsidRPr="00154F46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 xml:space="preserve">IPA/IFA </w:t>
                    </w:r>
                    <w:proofErr w:type="gramStart"/>
                    <w:r w:rsidRPr="00154F46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>-  General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CD6A" w14:textId="72E60150" w:rsidR="00154F46" w:rsidRDefault="00154F4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CCD614E" wp14:editId="1A0EEA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7620"/>
              <wp:wrapSquare wrapText="bothSides"/>
              <wp:docPr id="3" name="Text Box 3" descr="IPA/IFA - 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FDBD2" w14:textId="4E710ADD" w:rsidR="00154F46" w:rsidRPr="00154F46" w:rsidRDefault="00154F4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154F46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 xml:space="preserve">IPA/IFA </w:t>
                          </w:r>
                          <w:proofErr w:type="gramStart"/>
                          <w:r w:rsidRPr="00154F46"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  <w:szCs w:val="12"/>
                            </w:rPr>
                            <w:t>-  General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D61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IPA/IFA -  Gener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" filled="f" stroked="f">
              <v:textbox style="mso-fit-shape-to-text:t" inset="0,0,0,0">
                <w:txbxContent>
                  <w:p w14:paraId="6F0FDBD2" w14:textId="4E710ADD" w:rsidR="00154F46" w:rsidRPr="00154F46" w:rsidRDefault="00154F46">
                    <w:pPr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</w:pPr>
                    <w:r w:rsidRPr="00154F46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 xml:space="preserve">IPA/IFA </w:t>
                    </w:r>
                    <w:proofErr w:type="gramStart"/>
                    <w:r w:rsidRPr="00154F46">
                      <w:rPr>
                        <w:rFonts w:ascii="Calibri" w:eastAsia="Calibri" w:hAnsi="Calibri" w:cs="Calibri"/>
                        <w:color w:val="000000"/>
                        <w:sz w:val="12"/>
                        <w:szCs w:val="12"/>
                      </w:rPr>
                      <w:t>-  General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7D62" w14:textId="77777777" w:rsidR="00061C7A" w:rsidRDefault="00061C7A" w:rsidP="00380147">
      <w:pPr>
        <w:spacing w:after="0" w:line="240" w:lineRule="auto"/>
      </w:pPr>
      <w:r>
        <w:separator/>
      </w:r>
    </w:p>
  </w:footnote>
  <w:footnote w:type="continuationSeparator" w:id="0">
    <w:p w14:paraId="66CF7D63" w14:textId="77777777" w:rsidR="00061C7A" w:rsidRDefault="00061C7A" w:rsidP="0038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7D66" w14:textId="77777777" w:rsidR="00380147" w:rsidRDefault="00380147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CF7D67" wp14:editId="66CF7D68">
              <wp:simplePos x="0" y="0"/>
              <wp:positionH relativeFrom="column">
                <wp:posOffset>4942684</wp:posOffset>
              </wp:positionH>
              <wp:positionV relativeFrom="paragraph">
                <wp:posOffset>938829</wp:posOffset>
              </wp:positionV>
              <wp:extent cx="1742440" cy="1404620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F7D6C" w14:textId="77777777" w:rsidR="00380147" w:rsidRPr="00380147" w:rsidRDefault="00F77244" w:rsidP="00380147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Practice Administration</w:t>
                          </w:r>
                        </w:p>
                        <w:p w14:paraId="66CF7D6D" w14:textId="77777777" w:rsidR="00380147" w:rsidRDefault="0038014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CF7D6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9.2pt;margin-top:73.9pt;width:137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" filled="f" stroked="f">
              <v:textbox style="mso-fit-shape-to-text:t">
                <w:txbxContent>
                  <w:p w14:paraId="66CF7D6C" w14:textId="77777777" w:rsidR="00380147" w:rsidRPr="00380147" w:rsidRDefault="00F77244" w:rsidP="00380147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n-US"/>
                      </w:rPr>
                      <w:t>Practice Administration</w:t>
                    </w:r>
                  </w:p>
                  <w:p w14:paraId="66CF7D6D" w14:textId="77777777" w:rsidR="00380147" w:rsidRDefault="00380147"/>
                </w:txbxContent>
              </v:textbox>
              <w10:wrap type="square"/>
            </v:shape>
          </w:pict>
        </mc:Fallback>
      </mc:AlternateContent>
    </w:r>
    <w:r w:rsidRPr="00946B38">
      <w:rPr>
        <w:rFonts w:ascii="Arial" w:hAnsi="Arial" w:cs="Arial"/>
        <w:noProof/>
        <w:color w:val="192A67"/>
        <w:sz w:val="28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66CF7D69" wp14:editId="66CF7D6A">
          <wp:simplePos x="0" y="0"/>
          <wp:positionH relativeFrom="page">
            <wp:posOffset>0</wp:posOffset>
          </wp:positionH>
          <wp:positionV relativeFrom="page">
            <wp:posOffset>563</wp:posOffset>
          </wp:positionV>
          <wp:extent cx="7555228" cy="216000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_Brand_Dev_A4 Head_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28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39E"/>
    <w:multiLevelType w:val="hybridMultilevel"/>
    <w:tmpl w:val="BF7EF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2ECF"/>
    <w:multiLevelType w:val="hybridMultilevel"/>
    <w:tmpl w:val="0DBC4A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00DF8"/>
    <w:multiLevelType w:val="hybridMultilevel"/>
    <w:tmpl w:val="30A0E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4242"/>
    <w:multiLevelType w:val="hybridMultilevel"/>
    <w:tmpl w:val="3FC256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750B6"/>
    <w:multiLevelType w:val="hybridMultilevel"/>
    <w:tmpl w:val="179C1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333A0"/>
    <w:multiLevelType w:val="hybridMultilevel"/>
    <w:tmpl w:val="5A2A8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01314"/>
    <w:multiLevelType w:val="hybridMultilevel"/>
    <w:tmpl w:val="32E83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921"/>
    <w:multiLevelType w:val="hybridMultilevel"/>
    <w:tmpl w:val="60F4F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82C72"/>
    <w:multiLevelType w:val="hybridMultilevel"/>
    <w:tmpl w:val="21FAB5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35A51"/>
    <w:multiLevelType w:val="hybridMultilevel"/>
    <w:tmpl w:val="3EE8CF0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61345147"/>
    <w:multiLevelType w:val="hybridMultilevel"/>
    <w:tmpl w:val="8FAC43B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7144B5"/>
    <w:multiLevelType w:val="hybridMultilevel"/>
    <w:tmpl w:val="11601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37891"/>
    <w:multiLevelType w:val="hybridMultilevel"/>
    <w:tmpl w:val="0D4C9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54"/>
    <w:rsid w:val="00001DEE"/>
    <w:rsid w:val="00010969"/>
    <w:rsid w:val="00015A50"/>
    <w:rsid w:val="00052E22"/>
    <w:rsid w:val="00053B66"/>
    <w:rsid w:val="00060FC2"/>
    <w:rsid w:val="00061C7A"/>
    <w:rsid w:val="00091D54"/>
    <w:rsid w:val="000A0DC7"/>
    <w:rsid w:val="000A114B"/>
    <w:rsid w:val="000A2280"/>
    <w:rsid w:val="000C0519"/>
    <w:rsid w:val="000C098F"/>
    <w:rsid w:val="000D2E59"/>
    <w:rsid w:val="000D3CBD"/>
    <w:rsid w:val="000E3E65"/>
    <w:rsid w:val="000F4CF3"/>
    <w:rsid w:val="000F6BB3"/>
    <w:rsid w:val="000F73B2"/>
    <w:rsid w:val="0010255C"/>
    <w:rsid w:val="0013549D"/>
    <w:rsid w:val="00135BB7"/>
    <w:rsid w:val="00154F46"/>
    <w:rsid w:val="0017623A"/>
    <w:rsid w:val="001963B8"/>
    <w:rsid w:val="001A6BA0"/>
    <w:rsid w:val="001B175F"/>
    <w:rsid w:val="001D20D8"/>
    <w:rsid w:val="00211115"/>
    <w:rsid w:val="002260CB"/>
    <w:rsid w:val="002360FD"/>
    <w:rsid w:val="00237777"/>
    <w:rsid w:val="00255E75"/>
    <w:rsid w:val="002607C8"/>
    <w:rsid w:val="00285960"/>
    <w:rsid w:val="00294E75"/>
    <w:rsid w:val="002A625B"/>
    <w:rsid w:val="002C3BE8"/>
    <w:rsid w:val="002D1D9B"/>
    <w:rsid w:val="002D7EEB"/>
    <w:rsid w:val="003162DD"/>
    <w:rsid w:val="0032099D"/>
    <w:rsid w:val="003363DE"/>
    <w:rsid w:val="00374D92"/>
    <w:rsid w:val="00375D08"/>
    <w:rsid w:val="00380147"/>
    <w:rsid w:val="00390539"/>
    <w:rsid w:val="00395B90"/>
    <w:rsid w:val="003A0DD9"/>
    <w:rsid w:val="003C4F95"/>
    <w:rsid w:val="003E12CB"/>
    <w:rsid w:val="003E6ADD"/>
    <w:rsid w:val="003E75B3"/>
    <w:rsid w:val="003F450D"/>
    <w:rsid w:val="004442F9"/>
    <w:rsid w:val="00444D00"/>
    <w:rsid w:val="00464963"/>
    <w:rsid w:val="0049062D"/>
    <w:rsid w:val="004A0CBB"/>
    <w:rsid w:val="004C0ED6"/>
    <w:rsid w:val="004C296F"/>
    <w:rsid w:val="004C7059"/>
    <w:rsid w:val="004F4A76"/>
    <w:rsid w:val="005071B7"/>
    <w:rsid w:val="005232FA"/>
    <w:rsid w:val="00525AA0"/>
    <w:rsid w:val="005342E0"/>
    <w:rsid w:val="0054043D"/>
    <w:rsid w:val="00551795"/>
    <w:rsid w:val="0055754D"/>
    <w:rsid w:val="00557C8B"/>
    <w:rsid w:val="00563D10"/>
    <w:rsid w:val="00567575"/>
    <w:rsid w:val="005757A9"/>
    <w:rsid w:val="005B40A9"/>
    <w:rsid w:val="005C4FA5"/>
    <w:rsid w:val="005E13BE"/>
    <w:rsid w:val="005F6791"/>
    <w:rsid w:val="006151FF"/>
    <w:rsid w:val="0062506B"/>
    <w:rsid w:val="006262EB"/>
    <w:rsid w:val="00691D01"/>
    <w:rsid w:val="006D41EF"/>
    <w:rsid w:val="006E1EBC"/>
    <w:rsid w:val="006E6D52"/>
    <w:rsid w:val="006E752D"/>
    <w:rsid w:val="006E7E2D"/>
    <w:rsid w:val="006F08D9"/>
    <w:rsid w:val="006F13F8"/>
    <w:rsid w:val="006F2D26"/>
    <w:rsid w:val="007127A2"/>
    <w:rsid w:val="00735E87"/>
    <w:rsid w:val="007C1906"/>
    <w:rsid w:val="007C5073"/>
    <w:rsid w:val="007D3370"/>
    <w:rsid w:val="007D7A7F"/>
    <w:rsid w:val="007D7ED7"/>
    <w:rsid w:val="007F498D"/>
    <w:rsid w:val="007F5205"/>
    <w:rsid w:val="008159CE"/>
    <w:rsid w:val="00860451"/>
    <w:rsid w:val="00890AF0"/>
    <w:rsid w:val="008D02ED"/>
    <w:rsid w:val="008D5074"/>
    <w:rsid w:val="008D686E"/>
    <w:rsid w:val="008E2953"/>
    <w:rsid w:val="008E397B"/>
    <w:rsid w:val="009262D7"/>
    <w:rsid w:val="00942A51"/>
    <w:rsid w:val="00946B38"/>
    <w:rsid w:val="00974E7B"/>
    <w:rsid w:val="00985F4E"/>
    <w:rsid w:val="009929EC"/>
    <w:rsid w:val="009A19E4"/>
    <w:rsid w:val="009A69B7"/>
    <w:rsid w:val="009B0F36"/>
    <w:rsid w:val="009F26A4"/>
    <w:rsid w:val="00A450A8"/>
    <w:rsid w:val="00A529CE"/>
    <w:rsid w:val="00A777DC"/>
    <w:rsid w:val="00A81B08"/>
    <w:rsid w:val="00A92157"/>
    <w:rsid w:val="00AA7E22"/>
    <w:rsid w:val="00AB0765"/>
    <w:rsid w:val="00AB33DA"/>
    <w:rsid w:val="00AB79FC"/>
    <w:rsid w:val="00AC4CEB"/>
    <w:rsid w:val="00AC7C50"/>
    <w:rsid w:val="00AD6BF9"/>
    <w:rsid w:val="00AE540F"/>
    <w:rsid w:val="00AE677B"/>
    <w:rsid w:val="00B0192E"/>
    <w:rsid w:val="00B169E3"/>
    <w:rsid w:val="00B23F5C"/>
    <w:rsid w:val="00B63648"/>
    <w:rsid w:val="00BA25E6"/>
    <w:rsid w:val="00BB2EFD"/>
    <w:rsid w:val="00BD4CF2"/>
    <w:rsid w:val="00BF6CD4"/>
    <w:rsid w:val="00C075E8"/>
    <w:rsid w:val="00C12C28"/>
    <w:rsid w:val="00C151EC"/>
    <w:rsid w:val="00C45193"/>
    <w:rsid w:val="00C52C7D"/>
    <w:rsid w:val="00C62DA5"/>
    <w:rsid w:val="00C84963"/>
    <w:rsid w:val="00C976B2"/>
    <w:rsid w:val="00CA42D5"/>
    <w:rsid w:val="00CB32DB"/>
    <w:rsid w:val="00CF4428"/>
    <w:rsid w:val="00D01B15"/>
    <w:rsid w:val="00D02123"/>
    <w:rsid w:val="00D11AF6"/>
    <w:rsid w:val="00D25D11"/>
    <w:rsid w:val="00D32B8B"/>
    <w:rsid w:val="00D47249"/>
    <w:rsid w:val="00D93106"/>
    <w:rsid w:val="00DA5243"/>
    <w:rsid w:val="00DB5572"/>
    <w:rsid w:val="00DB5B61"/>
    <w:rsid w:val="00DB7DA7"/>
    <w:rsid w:val="00DC100E"/>
    <w:rsid w:val="00DD021A"/>
    <w:rsid w:val="00DE3717"/>
    <w:rsid w:val="00E16BB7"/>
    <w:rsid w:val="00E17D52"/>
    <w:rsid w:val="00E43290"/>
    <w:rsid w:val="00E7560C"/>
    <w:rsid w:val="00E860F8"/>
    <w:rsid w:val="00E92B88"/>
    <w:rsid w:val="00E93C3B"/>
    <w:rsid w:val="00E961CC"/>
    <w:rsid w:val="00EA0369"/>
    <w:rsid w:val="00EA2049"/>
    <w:rsid w:val="00EB5277"/>
    <w:rsid w:val="00EB71E9"/>
    <w:rsid w:val="00ED4080"/>
    <w:rsid w:val="00ED474F"/>
    <w:rsid w:val="00EF3808"/>
    <w:rsid w:val="00EF684E"/>
    <w:rsid w:val="00F0152A"/>
    <w:rsid w:val="00F2424D"/>
    <w:rsid w:val="00F317DB"/>
    <w:rsid w:val="00F373C5"/>
    <w:rsid w:val="00F627DD"/>
    <w:rsid w:val="00F77244"/>
    <w:rsid w:val="00F95936"/>
    <w:rsid w:val="00FC5FBF"/>
    <w:rsid w:val="00FD3D88"/>
    <w:rsid w:val="00FE429C"/>
    <w:rsid w:val="00FF1CE8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CF7D05"/>
  <w15:chartTrackingRefBased/>
  <w15:docId w15:val="{383C91A6-2548-4D10-B8E2-ED4906B9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5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47"/>
  </w:style>
  <w:style w:type="paragraph" w:styleId="Footer">
    <w:name w:val="footer"/>
    <w:basedOn w:val="Normal"/>
    <w:link w:val="FooterChar"/>
    <w:uiPriority w:val="99"/>
    <w:unhideWhenUsed/>
    <w:rsid w:val="0038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47"/>
  </w:style>
  <w:style w:type="paragraph" w:styleId="BalloonText">
    <w:name w:val="Balloon Text"/>
    <w:basedOn w:val="Normal"/>
    <w:link w:val="BalloonTextChar"/>
    <w:uiPriority w:val="99"/>
    <w:semiHidden/>
    <w:unhideWhenUsed/>
    <w:rsid w:val="00ED4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364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5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5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4C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ublicaccountants.org.au/resources/templat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pb.gov.au/sites/default/files/tpb_i_02_2011_claiming_a_lien_over_client_property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esb.org.au/uploads/standards/apesb_standards/27102015051946_Revised_APES_305_Oct_201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C3A89E70EF043A778512CD61D100E" ma:contentTypeVersion="9" ma:contentTypeDescription="Create a new document." ma:contentTypeScope="" ma:versionID="8aa2e6fa823d7b76d8c218c465143191">
  <xsd:schema xmlns:xsd="http://www.w3.org/2001/XMLSchema" xmlns:xs="http://www.w3.org/2001/XMLSchema" xmlns:p="http://schemas.microsoft.com/office/2006/metadata/properties" xmlns:ns2="f1096a72-bc11-44a6-a54a-dc561ae87dbb" targetNamespace="http://schemas.microsoft.com/office/2006/metadata/properties" ma:root="true" ma:fieldsID="9684f09b1f6aab3ae456d4f1da2d69db" ns2:_="">
    <xsd:import namespace="f1096a72-bc11-44a6-a54a-dc561ae87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96a72-bc11-44a6-a54a-dc561ae87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A02B4-2C7B-4302-922E-39402B168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BABD8E-71E4-4B91-A0A0-D5CE56283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38467-A153-4C67-B298-F1856A417D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158569-A413-459D-A250-5EED9AE49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96a72-bc11-44a6-a54a-dc561ae87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f4729d4-1545-458b-b18f-e7a7b3055437}" enabled="1" method="Privileged" siteId="{cc1d621a-92bc-4e4b-989b-a90da93583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Walker</dc:creator>
  <cp:keywords/>
  <dc:description/>
  <cp:lastModifiedBy>Eleanor Dunk</cp:lastModifiedBy>
  <cp:revision>2</cp:revision>
  <cp:lastPrinted>2018-11-21T03:55:00Z</cp:lastPrinted>
  <dcterms:created xsi:type="dcterms:W3CDTF">2025-03-03T02:47:00Z</dcterms:created>
  <dcterms:modified xsi:type="dcterms:W3CDTF">2025-03-03T02:47:00Z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0x010100053C3A89E70EF043A778512CD61D100E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FontProps">
    <vt:lpwstr>#000000,6,Calibri</vt:lpwstr>
  </property>
  <property fmtid="{D5CDD505-2E9C-101B-9397-08002B2CF9AE}" pid="5" name="ClassificationContentMarkingFooterText">
    <vt:lpwstr>IPA/IFA -  General</vt:lpwstr>
  </property>
</Properties>
</file>