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A92D" w14:textId="77777777" w:rsidR="00B2570D" w:rsidRDefault="00B2570D" w:rsidP="00C2140B">
      <w:pPr>
        <w:rPr>
          <w:bCs/>
          <w:color w:val="313131"/>
          <w:shd w:val="clear" w:color="auto" w:fill="FFFFFF"/>
          <w:lang w:val="en-US"/>
        </w:rPr>
      </w:pPr>
    </w:p>
    <w:p w14:paraId="28A5D98C" w14:textId="3AC03D2A" w:rsidR="00B26C7B" w:rsidRPr="004C241B" w:rsidRDefault="009C0C03" w:rsidP="00B26C7B">
      <w:r>
        <w:t>18 July 2025</w:t>
      </w:r>
    </w:p>
    <w:p w14:paraId="1E7D3874" w14:textId="77777777" w:rsidR="005123AB" w:rsidRDefault="005123AB" w:rsidP="005123AB"/>
    <w:p w14:paraId="68454211" w14:textId="3446F477" w:rsidR="00B26C7B" w:rsidRPr="004C241B" w:rsidRDefault="00B26C7B" w:rsidP="00B26C7B">
      <w:pPr>
        <w:rPr>
          <w:i/>
          <w:iCs/>
        </w:rPr>
      </w:pPr>
      <w:r w:rsidRPr="004C241B">
        <w:rPr>
          <w:i/>
          <w:iCs/>
        </w:rPr>
        <w:t xml:space="preserve">By email to: </w:t>
      </w:r>
      <w:r w:rsidR="003107AF" w:rsidRPr="003107AF">
        <w:rPr>
          <w:i/>
          <w:iCs/>
        </w:rPr>
        <w:t>VulnerabilityConsultation@ato.gov.au</w:t>
      </w:r>
    </w:p>
    <w:p w14:paraId="44047525" w14:textId="77777777" w:rsidR="00B26C7B" w:rsidRPr="004C241B" w:rsidRDefault="00B26C7B" w:rsidP="00B26C7B"/>
    <w:p w14:paraId="7A0EE6A7" w14:textId="76AB238A" w:rsidR="00B26C7B" w:rsidRPr="00F43727" w:rsidRDefault="003107AF" w:rsidP="000C2940">
      <w:pPr>
        <w:pStyle w:val="Heading1"/>
      </w:pPr>
      <w:r>
        <w:t>Draft ATO Vulnerability Framework</w:t>
      </w:r>
      <w:r w:rsidR="002C1A45">
        <w:t xml:space="preserve"> </w:t>
      </w:r>
    </w:p>
    <w:p w14:paraId="0AA294F0" w14:textId="61B5204D" w:rsidR="00B26C7B" w:rsidRPr="004C241B" w:rsidRDefault="00B26C7B" w:rsidP="00B26C7B">
      <w:r w:rsidRPr="004C241B">
        <w:t xml:space="preserve">The Institute of Public Accountants (IPA) welcomes the opportunity to make a submission in relation to the </w:t>
      </w:r>
      <w:r w:rsidR="00566430">
        <w:t>ATO’s draft Vulnerability Framework</w:t>
      </w:r>
      <w:r w:rsidR="000D5FB0">
        <w:t xml:space="preserve"> (the Framework)</w:t>
      </w:r>
      <w:r w:rsidR="00566430">
        <w:t>.</w:t>
      </w:r>
    </w:p>
    <w:p w14:paraId="018FE638" w14:textId="77777777" w:rsidR="00B26C7B" w:rsidRDefault="00B26C7B" w:rsidP="00B26C7B">
      <w:r w:rsidRPr="004C241B">
        <w:t>The IPA is one of the three professional accounting bodies in Australia, representing over 50,000 members and students in Australia and in over 100 countries. Approximately three-quarters of the IPA’s members work in or are advisers to small business and small to medium enterprises.</w:t>
      </w:r>
    </w:p>
    <w:p w14:paraId="2CC6E073" w14:textId="78776785" w:rsidR="00F67108" w:rsidRDefault="00F67108" w:rsidP="00B26C7B">
      <w:r>
        <w:t xml:space="preserve">We </w:t>
      </w:r>
      <w:r w:rsidR="00D66C8B">
        <w:t>commend</w:t>
      </w:r>
      <w:r w:rsidR="001D01A7">
        <w:t xml:space="preserve"> and support</w:t>
      </w:r>
      <w:r w:rsidR="00393091">
        <w:t xml:space="preserve"> the</w:t>
      </w:r>
      <w:r w:rsidR="007E34B8">
        <w:t xml:space="preserve"> efforts made by the ATO in providing </w:t>
      </w:r>
      <w:r w:rsidR="00D272F1">
        <w:t>additional</w:t>
      </w:r>
      <w:r w:rsidR="00FA788D">
        <w:t xml:space="preserve"> </w:t>
      </w:r>
      <w:r w:rsidR="007E34B8">
        <w:t>support for taxpayers</w:t>
      </w:r>
      <w:r w:rsidR="002512C5">
        <w:t xml:space="preserve"> in vulnerable positions</w:t>
      </w:r>
      <w:r w:rsidR="00FA788D">
        <w:t xml:space="preserve"> </w:t>
      </w:r>
      <w:r w:rsidR="002512C5">
        <w:t>and for</w:t>
      </w:r>
      <w:r w:rsidR="00FA788D">
        <w:t xml:space="preserve"> undertaking the implementation of </w:t>
      </w:r>
      <w:r w:rsidR="00D66C8B">
        <w:t>a</w:t>
      </w:r>
      <w:r w:rsidR="00FA788D">
        <w:t xml:space="preserve"> Vulnerability Framework</w:t>
      </w:r>
      <w:r w:rsidR="00B7764C">
        <w:t>.</w:t>
      </w:r>
    </w:p>
    <w:p w14:paraId="07FAFCF8" w14:textId="5F237136" w:rsidR="00F67108" w:rsidRDefault="00661C11" w:rsidP="00B26C7B">
      <w:proofErr w:type="gramStart"/>
      <w:r>
        <w:t>Overall</w:t>
      </w:r>
      <w:proofErr w:type="gramEnd"/>
      <w:r>
        <w:t xml:space="preserve"> we agree with the </w:t>
      </w:r>
      <w:r w:rsidR="0009381B">
        <w:t xml:space="preserve">proposed </w:t>
      </w:r>
      <w:r>
        <w:t>content of the</w:t>
      </w:r>
      <w:r w:rsidR="0009381B">
        <w:t xml:space="preserve"> Framework.</w:t>
      </w:r>
      <w:r w:rsidR="003F3A22">
        <w:t xml:space="preserve"> </w:t>
      </w:r>
      <w:r w:rsidR="001B794B">
        <w:t>S</w:t>
      </w:r>
      <w:r w:rsidR="00507F9F">
        <w:t xml:space="preserve">ome of </w:t>
      </w:r>
      <w:r w:rsidR="003F3A22">
        <w:t>the suggestions and</w:t>
      </w:r>
      <w:r w:rsidR="00507F9F">
        <w:t xml:space="preserve"> recommendations</w:t>
      </w:r>
      <w:r w:rsidR="003F3A22">
        <w:t xml:space="preserve"> contained in this submission</w:t>
      </w:r>
      <w:r w:rsidR="00507F9F">
        <w:t xml:space="preserve"> may</w:t>
      </w:r>
      <w:r w:rsidR="00507D5B">
        <w:t xml:space="preserve"> be relevant at the </w:t>
      </w:r>
      <w:r w:rsidR="00D56864">
        <w:t xml:space="preserve">later </w:t>
      </w:r>
      <w:r w:rsidR="00507D5B">
        <w:t xml:space="preserve">stages of design and implementation of the specific support and services </w:t>
      </w:r>
      <w:r w:rsidR="00EB13B2">
        <w:t xml:space="preserve">but we </w:t>
      </w:r>
      <w:r w:rsidR="00D56864">
        <w:t xml:space="preserve">have </w:t>
      </w:r>
      <w:r w:rsidR="00EB13B2">
        <w:t>include</w:t>
      </w:r>
      <w:r w:rsidR="00D56864">
        <w:t>d</w:t>
      </w:r>
      <w:r w:rsidR="00EB13B2">
        <w:t xml:space="preserve"> them herein to assist in informing the Framework.</w:t>
      </w:r>
    </w:p>
    <w:p w14:paraId="435E21C5" w14:textId="6237FC06" w:rsidR="004A09B9" w:rsidRPr="006027D9" w:rsidRDefault="004A09B9" w:rsidP="00B26C7B">
      <w:r>
        <w:t xml:space="preserve">We also </w:t>
      </w:r>
      <w:r w:rsidR="00E46260">
        <w:t>acknowledge that</w:t>
      </w:r>
      <w:r w:rsidR="000D5FB0">
        <w:t xml:space="preserve"> the Framework</w:t>
      </w:r>
      <w:r w:rsidR="00AD383E">
        <w:t>, and subsequent design,</w:t>
      </w:r>
      <w:r w:rsidR="000D5FB0">
        <w:t xml:space="preserve"> </w:t>
      </w:r>
      <w:r w:rsidR="00CF6F63">
        <w:t>may be informed by the findings and recommendations contained in</w:t>
      </w:r>
      <w:r w:rsidR="00E46260">
        <w:t xml:space="preserve"> </w:t>
      </w:r>
      <w:r w:rsidR="00882253">
        <w:t>the Tax Ombudsman’s</w:t>
      </w:r>
      <w:r w:rsidR="001115E4">
        <w:t xml:space="preserve"> recently released</w:t>
      </w:r>
      <w:r w:rsidR="000F2AB2">
        <w:t xml:space="preserve"> </w:t>
      </w:r>
      <w:r w:rsidR="006027D9">
        <w:t xml:space="preserve">report titled </w:t>
      </w:r>
      <w:r w:rsidR="006027D9">
        <w:rPr>
          <w:i/>
          <w:iCs/>
        </w:rPr>
        <w:t>Identification and management of financial abuse within the tax system</w:t>
      </w:r>
      <w:r w:rsidR="0049275A">
        <w:t xml:space="preserve"> (the Report) </w:t>
      </w:r>
      <w:r w:rsidR="007C6450">
        <w:t>in relation to</w:t>
      </w:r>
      <w:r w:rsidR="00AB491F">
        <w:t xml:space="preserve"> how the ATO addresses</w:t>
      </w:r>
      <w:r w:rsidR="00120FDC">
        <w:t xml:space="preserve"> situations where a victim-survivor of financial abuse has a tax debt as a result of the abuse and is seeking assistance with respect to that liability.</w:t>
      </w:r>
    </w:p>
    <w:p w14:paraId="130047BD" w14:textId="265C5F5D" w:rsidR="0088244E" w:rsidRDefault="0088244E" w:rsidP="00382F45">
      <w:pPr>
        <w:pStyle w:val="Heading2"/>
      </w:pPr>
      <w:r>
        <w:t>Core focus area</w:t>
      </w:r>
      <w:r w:rsidR="004A0CF2">
        <w:t xml:space="preserve">: </w:t>
      </w:r>
      <w:r>
        <w:t>Support</w:t>
      </w:r>
    </w:p>
    <w:p w14:paraId="704A528D" w14:textId="527C08AA" w:rsidR="00A074D0" w:rsidRDefault="00BA2593" w:rsidP="00B26C7B">
      <w:r>
        <w:t xml:space="preserve">Vulnerable taxpayers </w:t>
      </w:r>
      <w:r w:rsidR="00A42925">
        <w:t>need to</w:t>
      </w:r>
      <w:r>
        <w:t xml:space="preserve"> be made aware of the legal limitations of the support which the ATO may offer.</w:t>
      </w:r>
      <w:r w:rsidR="00A074D0">
        <w:t xml:space="preserve"> Therefore, t</w:t>
      </w:r>
      <w:r w:rsidR="001A6742">
        <w:t xml:space="preserve">he Framework </w:t>
      </w:r>
      <w:r w:rsidR="001B3D0A">
        <w:t>sh</w:t>
      </w:r>
      <w:r w:rsidR="001A6742">
        <w:t>ould</w:t>
      </w:r>
      <w:r w:rsidR="00A074D0">
        <w:t xml:space="preserve"> ensure that taxpayers will be clearly advised of:</w:t>
      </w:r>
      <w:r w:rsidR="001A6742">
        <w:t xml:space="preserve"> </w:t>
      </w:r>
    </w:p>
    <w:p w14:paraId="40159969" w14:textId="4A7AD36F" w:rsidR="006E5E5D" w:rsidRDefault="001A6742">
      <w:pPr>
        <w:pStyle w:val="ListBullet"/>
      </w:pPr>
      <w:r>
        <w:t xml:space="preserve">areas where </w:t>
      </w:r>
      <w:r w:rsidR="00352B5A">
        <w:t>ATO officers may</w:t>
      </w:r>
      <w:r w:rsidR="00443704">
        <w:t xml:space="preserve"> be able to </w:t>
      </w:r>
      <w:r w:rsidR="00F5563B">
        <w:t xml:space="preserve">offer flexible </w:t>
      </w:r>
      <w:r w:rsidR="00613613">
        <w:t>approaches or</w:t>
      </w:r>
      <w:r w:rsidR="00F5563B">
        <w:t xml:space="preserve"> alternative solutions — </w:t>
      </w:r>
      <w:r>
        <w:t>for example,</w:t>
      </w:r>
      <w:r w:rsidR="00013C85">
        <w:t xml:space="preserve"> </w:t>
      </w:r>
      <w:r w:rsidR="00C53F1C">
        <w:t>payment plans and administrative concessions (but not</w:t>
      </w:r>
      <w:r w:rsidR="00FF0286">
        <w:t xml:space="preserve"> the ability to change a due date) and remission of interest charges</w:t>
      </w:r>
    </w:p>
    <w:p w14:paraId="0B58E243" w14:textId="534F0802" w:rsidR="00700900" w:rsidRDefault="00700900">
      <w:pPr>
        <w:pStyle w:val="ListBullet"/>
      </w:pPr>
      <w:r>
        <w:t xml:space="preserve">areas in which </w:t>
      </w:r>
      <w:r w:rsidR="00B203FB">
        <w:t xml:space="preserve">ATO officers have no </w:t>
      </w:r>
      <w:r w:rsidR="007F457B">
        <w:t xml:space="preserve">legislative </w:t>
      </w:r>
      <w:r w:rsidR="00B203FB">
        <w:t>power</w:t>
      </w:r>
      <w:r>
        <w:t xml:space="preserve"> to</w:t>
      </w:r>
      <w:r w:rsidR="007F457B">
        <w:t xml:space="preserve"> make</w:t>
      </w:r>
      <w:r>
        <w:t xml:space="preserve"> change</w:t>
      </w:r>
      <w:r w:rsidR="007F457B">
        <w:t>s</w:t>
      </w:r>
      <w:r>
        <w:t xml:space="preserve"> — for example, statutory deadlines</w:t>
      </w:r>
      <w:r w:rsidR="00155011">
        <w:t xml:space="preserve">, </w:t>
      </w:r>
      <w:r w:rsidR="00A47B94">
        <w:t>the quantum of a liability</w:t>
      </w:r>
      <w:r w:rsidR="00155011">
        <w:t xml:space="preserve"> and shifting a</w:t>
      </w:r>
      <w:r w:rsidR="007F457B">
        <w:t xml:space="preserve"> particular</w:t>
      </w:r>
      <w:r w:rsidR="00155011">
        <w:t xml:space="preserve"> liability to another taxpayer.</w:t>
      </w:r>
      <w:r w:rsidR="00F10BE0">
        <w:t xml:space="preserve"> </w:t>
      </w:r>
    </w:p>
    <w:p w14:paraId="71D556E4" w14:textId="36231214" w:rsidR="008919AC" w:rsidRDefault="008919AC" w:rsidP="00B26C7B">
      <w:r>
        <w:t xml:space="preserve">Taxpayers and their representatives require </w:t>
      </w:r>
      <w:r w:rsidR="008B2DC6">
        <w:t xml:space="preserve">this </w:t>
      </w:r>
      <w:r>
        <w:t xml:space="preserve">clarity </w:t>
      </w:r>
      <w:r w:rsidR="008B2DC6">
        <w:t>to enable</w:t>
      </w:r>
      <w:r w:rsidR="006205B4">
        <w:t xml:space="preserve"> planning, to seek relevant assistance</w:t>
      </w:r>
      <w:r w:rsidR="00613613">
        <w:t xml:space="preserve"> from third parties and</w:t>
      </w:r>
      <w:r w:rsidR="006205B4">
        <w:t xml:space="preserve"> to ensure that their scarce resources are used appropriately.</w:t>
      </w:r>
    </w:p>
    <w:p w14:paraId="71EEC6A3" w14:textId="796A9951" w:rsidR="001B288F" w:rsidRDefault="00AC2885" w:rsidP="001B288F">
      <w:proofErr w:type="gramStart"/>
      <w:r>
        <w:t>In particular, w</w:t>
      </w:r>
      <w:r w:rsidR="001B288F">
        <w:t>e</w:t>
      </w:r>
      <w:proofErr w:type="gramEnd"/>
      <w:r w:rsidR="001B288F">
        <w:t xml:space="preserve"> acknowledge that, depending on the circumstances, the ATO may have very limited powers under the law to abolish a taxpayer’s tax debt or to allocate it to another </w:t>
      </w:r>
      <w:r w:rsidR="001B288F">
        <w:lastRenderedPageBreak/>
        <w:t xml:space="preserve">taxpayer. </w:t>
      </w:r>
      <w:r w:rsidR="00B36514">
        <w:t xml:space="preserve">As noted throughout the Report, there may be matters which will require legislative change. </w:t>
      </w:r>
      <w:r w:rsidR="001B288F">
        <w:t xml:space="preserve">Notwithstanding these limitations it is important for the ATO to </w:t>
      </w:r>
      <w:r>
        <w:t xml:space="preserve">commit to </w:t>
      </w:r>
      <w:r w:rsidR="00EE17E5">
        <w:t xml:space="preserve">make </w:t>
      </w:r>
      <w:r w:rsidR="00393DC2">
        <w:t xml:space="preserve">best </w:t>
      </w:r>
      <w:r w:rsidR="00EE17E5">
        <w:t>efforts</w:t>
      </w:r>
      <w:r w:rsidR="001B288F">
        <w:t xml:space="preserve"> to reduce</w:t>
      </w:r>
      <w:r w:rsidR="00325DC1">
        <w:t>,</w:t>
      </w:r>
      <w:r w:rsidR="001B288F">
        <w:t xml:space="preserve"> remove</w:t>
      </w:r>
      <w:r w:rsidR="00325DC1">
        <w:t xml:space="preserve"> or reallocate</w:t>
      </w:r>
      <w:r w:rsidR="00875EC7">
        <w:t xml:space="preserve"> a</w:t>
      </w:r>
      <w:r w:rsidR="001B288F">
        <w:t xml:space="preserve"> debt</w:t>
      </w:r>
      <w:r w:rsidR="001A3F9C">
        <w:t xml:space="preserve"> th</w:t>
      </w:r>
      <w:r w:rsidR="0043432E">
        <w:t>at has arisen as the result of financial abuse</w:t>
      </w:r>
      <w:r w:rsidR="00EE69C8">
        <w:t xml:space="preserve"> so that vulnerable taxpayers can have confidence that their concerns</w:t>
      </w:r>
      <w:r w:rsidR="00F371D3">
        <w:t xml:space="preserve"> are addressed and</w:t>
      </w:r>
      <w:r w:rsidR="00875EC7">
        <w:t xml:space="preserve"> an unfair</w:t>
      </w:r>
      <w:r w:rsidR="00325DC1">
        <w:t xml:space="preserve"> debt</w:t>
      </w:r>
      <w:r w:rsidR="001B288F">
        <w:t>.</w:t>
      </w:r>
      <w:r w:rsidR="00E46BA4">
        <w:t xml:space="preserve"> </w:t>
      </w:r>
    </w:p>
    <w:p w14:paraId="036D71F0" w14:textId="0CBA1540" w:rsidR="00DF30BA" w:rsidRDefault="00DF30BA" w:rsidP="00B26C7B">
      <w:r>
        <w:t>Support needs to be tailored to</w:t>
      </w:r>
      <w:r w:rsidR="00A62380">
        <w:t xml:space="preserve"> the </w:t>
      </w:r>
      <w:proofErr w:type="gramStart"/>
      <w:r w:rsidR="00A62380">
        <w:t>particular taxpayer</w:t>
      </w:r>
      <w:proofErr w:type="gramEnd"/>
      <w:r w:rsidR="00A62380">
        <w:t xml:space="preserve">. A taxpayer who </w:t>
      </w:r>
      <w:r w:rsidR="004E57F3">
        <w:t xml:space="preserve">is not fluent in </w:t>
      </w:r>
      <w:r w:rsidR="00083FE6">
        <w:t>English</w:t>
      </w:r>
      <w:r w:rsidR="004E57F3">
        <w:t xml:space="preserve"> will have different support needs to a </w:t>
      </w:r>
      <w:proofErr w:type="gramStart"/>
      <w:r w:rsidR="004E57F3">
        <w:t>taxpayers</w:t>
      </w:r>
      <w:proofErr w:type="gramEnd"/>
      <w:r w:rsidR="004E57F3">
        <w:t xml:space="preserve"> who has left a domestic violence situation </w:t>
      </w:r>
      <w:r w:rsidR="00E4240A">
        <w:t>or one who has suffered sudden and unexpected health and financial crises.</w:t>
      </w:r>
    </w:p>
    <w:p w14:paraId="55B80689" w14:textId="42E98EF2" w:rsidR="009331E3" w:rsidRDefault="009331E3" w:rsidP="00B26C7B">
      <w:r>
        <w:t xml:space="preserve">Tailored support may include </w:t>
      </w:r>
      <w:r w:rsidR="00833A0F">
        <w:t>providing</w:t>
      </w:r>
      <w:r>
        <w:t xml:space="preserve"> information in languages other than </w:t>
      </w:r>
      <w:r w:rsidR="00083FE6">
        <w:t>English</w:t>
      </w:r>
      <w:r>
        <w:t xml:space="preserve"> </w:t>
      </w:r>
      <w:r w:rsidR="00D1083A">
        <w:t>and</w:t>
      </w:r>
      <w:r>
        <w:t xml:space="preserve"> offering the use of </w:t>
      </w:r>
      <w:r w:rsidR="00D1083A">
        <w:t>an interpreter</w:t>
      </w:r>
      <w:r>
        <w:t xml:space="preserve"> for phone and in-person services.</w:t>
      </w:r>
    </w:p>
    <w:p w14:paraId="5131265F" w14:textId="0B957CA2" w:rsidR="00393091" w:rsidRDefault="00393091" w:rsidP="00B26C7B">
      <w:r>
        <w:t>We welcome</w:t>
      </w:r>
      <w:r w:rsidR="003B7AFE">
        <w:t xml:space="preserve"> the</w:t>
      </w:r>
      <w:r w:rsidR="00561888">
        <w:t xml:space="preserve"> draft</w:t>
      </w:r>
      <w:r w:rsidR="003B7AFE">
        <w:t xml:space="preserve"> ‘Easy Read’ version of the </w:t>
      </w:r>
      <w:r w:rsidR="00FC095C">
        <w:t xml:space="preserve">Framework. </w:t>
      </w:r>
      <w:r w:rsidR="00596402">
        <w:t>The ATO should consider adopting t</w:t>
      </w:r>
      <w:r w:rsidR="00FC095C">
        <w:t xml:space="preserve">his approach </w:t>
      </w:r>
      <w:r w:rsidR="00596402">
        <w:t>more broadly</w:t>
      </w:r>
      <w:r w:rsidR="00FC095C">
        <w:t xml:space="preserve"> </w:t>
      </w:r>
      <w:r w:rsidR="00EE3851">
        <w:t>so that</w:t>
      </w:r>
      <w:r w:rsidR="00EB27F7">
        <w:t xml:space="preserve"> ATO</w:t>
      </w:r>
      <w:r w:rsidR="00EE3851">
        <w:t xml:space="preserve"> information </w:t>
      </w:r>
      <w:r w:rsidR="00EB27F7">
        <w:t>becomes accessible to more taxpayers</w:t>
      </w:r>
      <w:r w:rsidR="00FC095C">
        <w:t>.</w:t>
      </w:r>
    </w:p>
    <w:p w14:paraId="5B9C67E3" w14:textId="27C88D6C" w:rsidR="00505246" w:rsidRDefault="0040720F" w:rsidP="000A040F">
      <w:r>
        <w:t>I</w:t>
      </w:r>
      <w:r w:rsidR="0014335F">
        <w:t xml:space="preserve">ntermediaries such as </w:t>
      </w:r>
      <w:r w:rsidR="000A040F">
        <w:t>accountants, lawyers, tax advisers, financial advisers</w:t>
      </w:r>
      <w:r w:rsidR="00680449">
        <w:t xml:space="preserve"> and planners,</w:t>
      </w:r>
      <w:r w:rsidR="00736012">
        <w:t xml:space="preserve"> </w:t>
      </w:r>
      <w:r w:rsidR="00083FE6">
        <w:t>bankers</w:t>
      </w:r>
      <w:r w:rsidR="00736012">
        <w:t xml:space="preserve"> and lenders,</w:t>
      </w:r>
      <w:r w:rsidR="000A040F">
        <w:t xml:space="preserve"> and others may </w:t>
      </w:r>
      <w:r w:rsidR="0034532C">
        <w:t xml:space="preserve">deal </w:t>
      </w:r>
      <w:r w:rsidR="000A040F">
        <w:t>with the vulnerable taxpayer in relation to their tax or financial affairs.</w:t>
      </w:r>
      <w:r>
        <w:t xml:space="preserve"> </w:t>
      </w:r>
      <w:proofErr w:type="gramStart"/>
      <w:r w:rsidR="0046715F">
        <w:t>In particular, tax</w:t>
      </w:r>
      <w:proofErr w:type="gramEnd"/>
      <w:r w:rsidR="0046715F">
        <w:t xml:space="preserve"> and accounting professionals may unknowingly partake in the facilitation of financial abuse due to the work that they undertake in the interests of their client (i.e. the perpetrator of the purported abuse</w:t>
      </w:r>
      <w:r w:rsidR="00564FD7">
        <w:t xml:space="preserve"> through coercive control to </w:t>
      </w:r>
      <w:r w:rsidR="000E0035">
        <w:t xml:space="preserve">lodge </w:t>
      </w:r>
      <w:r w:rsidR="00564FD7">
        <w:t>fraudulent returns</w:t>
      </w:r>
      <w:r w:rsidR="0046715F">
        <w:t xml:space="preserve">). </w:t>
      </w:r>
      <w:r>
        <w:t>Information products and learning resources should be made readily available</w:t>
      </w:r>
      <w:r w:rsidR="00607E7A">
        <w:t xml:space="preserve"> — e.g. through industry groups — to educate</w:t>
      </w:r>
      <w:r w:rsidR="006404FD">
        <w:t xml:space="preserve"> intermediaries</w:t>
      </w:r>
      <w:r w:rsidR="003528ED">
        <w:t xml:space="preserve"> </w:t>
      </w:r>
      <w:r w:rsidR="00083FE6">
        <w:t>about</w:t>
      </w:r>
      <w:r w:rsidR="003528ED">
        <w:t xml:space="preserve"> financial abuse and other types of </w:t>
      </w:r>
      <w:r w:rsidR="007E4094">
        <w:t xml:space="preserve">taxpayer </w:t>
      </w:r>
      <w:r w:rsidR="003528ED">
        <w:t>vulnerabilities and</w:t>
      </w:r>
      <w:r w:rsidR="007E4094">
        <w:t xml:space="preserve"> to</w:t>
      </w:r>
      <w:r w:rsidR="001E08C6">
        <w:t xml:space="preserve"> inform of assistance available.</w:t>
      </w:r>
      <w:r w:rsidR="0046715F">
        <w:t xml:space="preserve"> </w:t>
      </w:r>
    </w:p>
    <w:p w14:paraId="5AD7CF4D" w14:textId="63E4B8B1" w:rsidR="00600CEB" w:rsidRDefault="00600CEB" w:rsidP="000A040F">
      <w:r>
        <w:t>We further encourage the ATO to produce material jointly or with the input of</w:t>
      </w:r>
      <w:r w:rsidR="00C07D3D">
        <w:t xml:space="preserve"> other </w:t>
      </w:r>
      <w:r w:rsidR="00ED13FC">
        <w:t>agencies</w:t>
      </w:r>
      <w:r w:rsidR="00C07D3D">
        <w:t xml:space="preserve"> or </w:t>
      </w:r>
      <w:r w:rsidR="00ED13FC">
        <w:t>regulatory</w:t>
      </w:r>
      <w:r w:rsidR="00C07D3D">
        <w:t xml:space="preserve"> bodies, such as the TPB, Services Australia, ASIC</w:t>
      </w:r>
      <w:r w:rsidR="00F81FE5">
        <w:t xml:space="preserve"> and professional bodies,</w:t>
      </w:r>
      <w:r w:rsidR="00AE5ED8">
        <w:t xml:space="preserve"> given that</w:t>
      </w:r>
      <w:r w:rsidR="00272127">
        <w:t xml:space="preserve"> many of the regulatory implications for intermediaries are within the remit of bodies other than the ATO and that</w:t>
      </w:r>
      <w:r w:rsidR="00B5619E">
        <w:t xml:space="preserve"> the tax affairs of vulnerable taxpayers often impact the obligations and entitlements with other </w:t>
      </w:r>
      <w:r w:rsidR="00ED13FC">
        <w:t>agencies</w:t>
      </w:r>
      <w:r w:rsidR="00B5619E">
        <w:t>.</w:t>
      </w:r>
    </w:p>
    <w:p w14:paraId="4D3E200A" w14:textId="26D6F604" w:rsidR="001C4B29" w:rsidRDefault="00FD714B" w:rsidP="000A040F">
      <w:r>
        <w:t xml:space="preserve">The ATO’s investigations into a taxpayer’s tax affairs may </w:t>
      </w:r>
      <w:r w:rsidR="00E74147">
        <w:t>reveal related issues with other agencies and regulators, such as ASIC (e.g. in the case of directorships) or Services Australia (e.g. in the case of child support)</w:t>
      </w:r>
      <w:r w:rsidR="00D216DE">
        <w:t>.</w:t>
      </w:r>
      <w:r>
        <w:t xml:space="preserve"> </w:t>
      </w:r>
      <w:r w:rsidR="000F53F7">
        <w:t xml:space="preserve">The ATO should </w:t>
      </w:r>
      <w:r w:rsidR="00D216DE">
        <w:t>commit</w:t>
      </w:r>
      <w:r w:rsidR="00043393">
        <w:t xml:space="preserve"> to assist victims of financial abuse or other vulnerable taxpayers with</w:t>
      </w:r>
      <w:r w:rsidR="002121A9">
        <w:t xml:space="preserve"> liaising with other agencies, including clarifying</w:t>
      </w:r>
      <w:r w:rsidR="00F10BDB">
        <w:t xml:space="preserve"> the extent to which the agencies will share</w:t>
      </w:r>
      <w:r w:rsidR="00D9137D">
        <w:t xml:space="preserve"> the taxpayer’s</w:t>
      </w:r>
      <w:r w:rsidR="00F10BDB">
        <w:t xml:space="preserve"> information and any secrecy</w:t>
      </w:r>
      <w:r w:rsidR="005B42FB">
        <w:t xml:space="preserve"> and privacy laws which may apply.</w:t>
      </w:r>
      <w:r w:rsidR="00435415">
        <w:t xml:space="preserve"> </w:t>
      </w:r>
      <w:r w:rsidR="000E139C">
        <w:t>We note that the IGT’s Review made five recommendations</w:t>
      </w:r>
      <w:r w:rsidR="00F41CF8">
        <w:t xml:space="preserve"> in relation to improving how the ATO can work more effectively with other</w:t>
      </w:r>
      <w:r w:rsidR="00D8584A">
        <w:t xml:space="preserve"> agencies in addressing financial abuse.</w:t>
      </w:r>
    </w:p>
    <w:p w14:paraId="4DDEE09B" w14:textId="77777777" w:rsidR="00AB4917" w:rsidRDefault="00AB4917">
      <w:pPr>
        <w:rPr>
          <w:b/>
          <w:bCs/>
        </w:rPr>
      </w:pPr>
      <w:r>
        <w:br w:type="page"/>
      </w:r>
    </w:p>
    <w:p w14:paraId="4390D058" w14:textId="4006545A" w:rsidR="00382F45" w:rsidRDefault="00382F45" w:rsidP="00382F45">
      <w:pPr>
        <w:pStyle w:val="Heading2"/>
      </w:pPr>
      <w:r>
        <w:lastRenderedPageBreak/>
        <w:t xml:space="preserve">Core focus area: </w:t>
      </w:r>
      <w:r w:rsidR="007D7EF2">
        <w:t>Services</w:t>
      </w:r>
    </w:p>
    <w:p w14:paraId="2E818E50" w14:textId="15DB0E60" w:rsidR="00CD46DC" w:rsidRDefault="00C07521" w:rsidP="007D7EF2">
      <w:r>
        <w:t>We acknowledge the critical importance</w:t>
      </w:r>
      <w:r w:rsidR="0017578E">
        <w:t xml:space="preserve"> of </w:t>
      </w:r>
      <w:r w:rsidR="00623EB0">
        <w:t>ensuring that taxpayers’ representatives are appropriately authorised to liaise with the ATO</w:t>
      </w:r>
      <w:r w:rsidR="00DE1573">
        <w:t xml:space="preserve">, for the safety </w:t>
      </w:r>
      <w:r w:rsidR="00363A09">
        <w:t xml:space="preserve">and privacy </w:t>
      </w:r>
      <w:r w:rsidR="00DE1573">
        <w:t>of taxpayers and the security of their data.</w:t>
      </w:r>
      <w:r w:rsidR="00FC539D">
        <w:t xml:space="preserve"> </w:t>
      </w:r>
      <w:r w:rsidR="00661420">
        <w:t xml:space="preserve">Within </w:t>
      </w:r>
      <w:r w:rsidR="004D3FF2">
        <w:t>this context</w:t>
      </w:r>
      <w:r w:rsidR="00FC539D">
        <w:t>, the Framework</w:t>
      </w:r>
      <w:r w:rsidR="00875516">
        <w:t xml:space="preserve"> should acknowledge that</w:t>
      </w:r>
      <w:r w:rsidR="008231AC">
        <w:t xml:space="preserve"> </w:t>
      </w:r>
      <w:r w:rsidR="004A3BB3">
        <w:t>vulnerable tax</w:t>
      </w:r>
      <w:r w:rsidR="001965B2">
        <w:t xml:space="preserve">payers </w:t>
      </w:r>
      <w:r w:rsidR="00A13690">
        <w:t xml:space="preserve">may require some </w:t>
      </w:r>
      <w:r w:rsidR="002F369E">
        <w:t xml:space="preserve">flexibility </w:t>
      </w:r>
      <w:r w:rsidR="00EF0A82">
        <w:t>in relation</w:t>
      </w:r>
      <w:r w:rsidR="005315FF">
        <w:t xml:space="preserve"> to authorisation </w:t>
      </w:r>
      <w:r w:rsidR="00A13690">
        <w:t>as they</w:t>
      </w:r>
      <w:r w:rsidR="008231AC">
        <w:t xml:space="preserve"> may be more likely to </w:t>
      </w:r>
      <w:r w:rsidR="00914A88">
        <w:t xml:space="preserve">enlist representatives other than registered </w:t>
      </w:r>
      <w:r w:rsidR="00C316B2">
        <w:t>intermediaries</w:t>
      </w:r>
      <w:r w:rsidR="00227376">
        <w:t xml:space="preserve"> such as </w:t>
      </w:r>
      <w:r w:rsidR="00914A88">
        <w:t xml:space="preserve">agents, accountants and </w:t>
      </w:r>
      <w:proofErr w:type="gramStart"/>
      <w:r w:rsidR="00914A88">
        <w:t>lawyers</w:t>
      </w:r>
      <w:r w:rsidR="00507F9F">
        <w:t>;</w:t>
      </w:r>
      <w:proofErr w:type="gramEnd"/>
      <w:r w:rsidR="00507F9F">
        <w:t xml:space="preserve"> </w:t>
      </w:r>
      <w:r w:rsidR="00363A09">
        <w:t>i.e. family or friends</w:t>
      </w:r>
      <w:r w:rsidR="001F7035">
        <w:t>, at</w:t>
      </w:r>
      <w:r w:rsidR="004722A7">
        <w:t xml:space="preserve"> very</w:t>
      </w:r>
      <w:r w:rsidR="001F7035">
        <w:t xml:space="preserve"> short notice</w:t>
      </w:r>
      <w:r w:rsidR="00363A09">
        <w:t>.</w:t>
      </w:r>
      <w:r w:rsidR="00922787" w:rsidRPr="00922787">
        <w:t xml:space="preserve"> </w:t>
      </w:r>
      <w:r w:rsidR="00B26C29">
        <w:t>Further, t</w:t>
      </w:r>
      <w:r w:rsidR="00922787">
        <w:t>here will also be situations where the taxpayer is able to speak for themselves but require a support person</w:t>
      </w:r>
      <w:r w:rsidR="00B26C29">
        <w:t xml:space="preserve"> and situations where the representative</w:t>
      </w:r>
      <w:r w:rsidR="005F41B1">
        <w:t xml:space="preserve"> will </w:t>
      </w:r>
      <w:r w:rsidR="004722A7">
        <w:t xml:space="preserve">be required to </w:t>
      </w:r>
      <w:r w:rsidR="005F41B1">
        <w:t>speak on the taxpayer’s behalf</w:t>
      </w:r>
      <w:r w:rsidR="00922787">
        <w:t>.</w:t>
      </w:r>
    </w:p>
    <w:p w14:paraId="1855E22B" w14:textId="4C1CF73B" w:rsidR="002F05A8" w:rsidRDefault="002F05A8" w:rsidP="007D7EF2">
      <w:r>
        <w:t xml:space="preserve">Clear guidance should be </w:t>
      </w:r>
      <w:r w:rsidR="000C7ED5">
        <w:t>provided</w:t>
      </w:r>
      <w:r>
        <w:t xml:space="preserve"> as to </w:t>
      </w:r>
      <w:r w:rsidR="00274C63">
        <w:t>how authority may be given for others to speak on the</w:t>
      </w:r>
      <w:r w:rsidR="003D2C7C">
        <w:t xml:space="preserve"> taxpayer’s</w:t>
      </w:r>
      <w:r w:rsidR="00274C63">
        <w:t xml:space="preserve"> behalf</w:t>
      </w:r>
      <w:r w:rsidR="00FD6E8B">
        <w:t>,</w:t>
      </w:r>
      <w:r w:rsidR="001F7035">
        <w:t xml:space="preserve"> in what situations </w:t>
      </w:r>
      <w:r w:rsidR="003D2C7C">
        <w:t>an</w:t>
      </w:r>
      <w:r w:rsidR="001F7035">
        <w:t xml:space="preserve"> explicit authority is required and not required,</w:t>
      </w:r>
      <w:r w:rsidR="00FD6E8B">
        <w:t xml:space="preserve"> and any restrictions</w:t>
      </w:r>
      <w:r w:rsidR="00797AF6">
        <w:t xml:space="preserve"> as to information that may be able to be shared. </w:t>
      </w:r>
    </w:p>
    <w:p w14:paraId="482B10E3" w14:textId="2024E8EF" w:rsidR="007103D6" w:rsidRDefault="007103D6" w:rsidP="007D7EF2">
      <w:r>
        <w:t xml:space="preserve">The ATO should also consider </w:t>
      </w:r>
      <w:r w:rsidR="00CA29FA">
        <w:t>efficient pathways for authorising</w:t>
      </w:r>
      <w:r w:rsidR="009C02D9">
        <w:t xml:space="preserve"> third part</w:t>
      </w:r>
      <w:r w:rsidR="00EC55B4">
        <w:t>y intermediaries who already work with</w:t>
      </w:r>
      <w:r w:rsidR="00B616FB">
        <w:t xml:space="preserve"> and advocate for</w:t>
      </w:r>
      <w:r w:rsidR="00EC55B4">
        <w:t xml:space="preserve"> vulnerable taxpayers </w:t>
      </w:r>
      <w:r w:rsidR="00894166">
        <w:t>in relation to non-tax matters</w:t>
      </w:r>
      <w:r w:rsidR="002D3E6D">
        <w:t>,</w:t>
      </w:r>
      <w:r w:rsidR="009C02D9">
        <w:t xml:space="preserve"> such as social workers</w:t>
      </w:r>
      <w:r w:rsidR="00C12CD1">
        <w:t>, family lawyers and family violence support services.</w:t>
      </w:r>
    </w:p>
    <w:p w14:paraId="04B75742" w14:textId="58EDABCB" w:rsidR="0054342E" w:rsidRDefault="009E0073" w:rsidP="007D7EF2">
      <w:r>
        <w:t xml:space="preserve">Guidelines should </w:t>
      </w:r>
      <w:r w:rsidR="002D3E6D">
        <w:t>also cover</w:t>
      </w:r>
      <w:r>
        <w:t xml:space="preserve"> the process to be undertaken should a taxpayer wish to provide their own interpreter</w:t>
      </w:r>
      <w:r w:rsidR="005B1EDE">
        <w:t xml:space="preserve"> instead of relying </w:t>
      </w:r>
      <w:r w:rsidR="00125033">
        <w:t>on the ATO’s Translating and Interpreting Service</w:t>
      </w:r>
      <w:r w:rsidR="00F020FC">
        <w:t>.</w:t>
      </w:r>
    </w:p>
    <w:p w14:paraId="453EBA10" w14:textId="6996E2CA" w:rsidR="0054342E" w:rsidRDefault="0054342E" w:rsidP="0054342E">
      <w:pPr>
        <w:pStyle w:val="Heading2"/>
      </w:pPr>
      <w:r>
        <w:t>Core focus area: Design</w:t>
      </w:r>
    </w:p>
    <w:p w14:paraId="66602929" w14:textId="41D00621" w:rsidR="00392F72" w:rsidRDefault="00745CEA" w:rsidP="00E862A9">
      <w:r>
        <w:t xml:space="preserve">We note that the ATO already produces resources in languages other than English. </w:t>
      </w:r>
      <w:r w:rsidR="003A70F9">
        <w:t>Th</w:t>
      </w:r>
      <w:r w:rsidR="00A05677">
        <w:t>is commendable ini</w:t>
      </w:r>
      <w:r w:rsidR="00C22695">
        <w:t>ti</w:t>
      </w:r>
      <w:r w:rsidR="00A05677">
        <w:t>ative</w:t>
      </w:r>
      <w:r w:rsidR="00C22695">
        <w:t xml:space="preserve"> should be</w:t>
      </w:r>
      <w:r w:rsidR="005A645F">
        <w:t xml:space="preserve"> continued and expanded</w:t>
      </w:r>
      <w:r w:rsidR="0080129F">
        <w:t xml:space="preserve"> to ensure that more taxpayers have direct access to correct information and </w:t>
      </w:r>
      <w:r w:rsidR="006466FD">
        <w:t>combat the dissemination of misinformation within migrant communities</w:t>
      </w:r>
      <w:r w:rsidR="003A70F9">
        <w:t>.</w:t>
      </w:r>
      <w:r w:rsidR="00F83C73">
        <w:t xml:space="preserve"> </w:t>
      </w:r>
      <w:r w:rsidR="00E862A9">
        <w:t>Information should be available in print</w:t>
      </w:r>
      <w:r w:rsidR="00F23B7E">
        <w:t xml:space="preserve"> form</w:t>
      </w:r>
      <w:r w:rsidR="00E862A9">
        <w:t xml:space="preserve"> as well as digitally</w:t>
      </w:r>
      <w:r w:rsidR="00A839D6">
        <w:t>.</w:t>
      </w:r>
    </w:p>
    <w:p w14:paraId="4A657A38" w14:textId="2EEB0680" w:rsidR="00E862A9" w:rsidRDefault="00E862A9" w:rsidP="00E862A9">
      <w:r>
        <w:t>Information about</w:t>
      </w:r>
      <w:r w:rsidR="00E14D85">
        <w:t xml:space="preserve"> the existence of</w:t>
      </w:r>
      <w:r>
        <w:t xml:space="preserve"> additional support and services</w:t>
      </w:r>
      <w:r w:rsidR="00392F72">
        <w:t xml:space="preserve">, including key contact </w:t>
      </w:r>
      <w:r w:rsidR="00041B32">
        <w:t>channels</w:t>
      </w:r>
      <w:r w:rsidR="00392F72">
        <w:t>,</w:t>
      </w:r>
      <w:r>
        <w:t xml:space="preserve"> should be distributed widely</w:t>
      </w:r>
      <w:r w:rsidR="00E14D85">
        <w:t xml:space="preserve"> throughout the community</w:t>
      </w:r>
      <w:r w:rsidR="005F3285">
        <w:t>. Suitable locations may</w:t>
      </w:r>
      <w:r w:rsidR="00E14D85">
        <w:t xml:space="preserve"> includ</w:t>
      </w:r>
      <w:r w:rsidR="005F3285">
        <w:t>e</w:t>
      </w:r>
      <w:r w:rsidR="009B6A33">
        <w:t>:</w:t>
      </w:r>
    </w:p>
    <w:p w14:paraId="6CE53E2E" w14:textId="7349DF17" w:rsidR="00272372" w:rsidRDefault="009B6A33" w:rsidP="00272372">
      <w:pPr>
        <w:pStyle w:val="ListBullet"/>
      </w:pPr>
      <w:r>
        <w:t>community centres</w:t>
      </w:r>
      <w:r w:rsidR="00272372">
        <w:t xml:space="preserve"> and</w:t>
      </w:r>
      <w:r w:rsidR="00272372" w:rsidRPr="00272372">
        <w:t xml:space="preserve"> </w:t>
      </w:r>
      <w:r w:rsidR="00272372">
        <w:t>council offices</w:t>
      </w:r>
    </w:p>
    <w:p w14:paraId="5F23CFB1" w14:textId="4A045245" w:rsidR="008C2E01" w:rsidRDefault="008C2E01" w:rsidP="00272372">
      <w:pPr>
        <w:pStyle w:val="ListBullet"/>
      </w:pPr>
      <w:r>
        <w:t>social services</w:t>
      </w:r>
      <w:r w:rsidR="0010066C">
        <w:t xml:space="preserve"> and disability services clinics</w:t>
      </w:r>
    </w:p>
    <w:p w14:paraId="55C2CDAF" w14:textId="1A405DDE" w:rsidR="00272372" w:rsidRDefault="00272372" w:rsidP="00272372">
      <w:pPr>
        <w:pStyle w:val="ListBullet"/>
      </w:pPr>
      <w:r>
        <w:t>local libraries</w:t>
      </w:r>
    </w:p>
    <w:p w14:paraId="4BA48501" w14:textId="7F4706A6" w:rsidR="00E862A9" w:rsidRDefault="009B6A33" w:rsidP="009B6A33">
      <w:pPr>
        <w:pStyle w:val="ListBullet"/>
      </w:pPr>
      <w:r>
        <w:t>legal aid centres</w:t>
      </w:r>
    </w:p>
    <w:p w14:paraId="018F581A" w14:textId="7031B8F0" w:rsidR="00E862A9" w:rsidRDefault="009B6A33" w:rsidP="009B6A33">
      <w:pPr>
        <w:pStyle w:val="ListBullet"/>
      </w:pPr>
      <w:r>
        <w:t>asylum seeker and refugee services</w:t>
      </w:r>
    </w:p>
    <w:p w14:paraId="140C780E" w14:textId="54199B11" w:rsidR="00E862A9" w:rsidRDefault="009B6A33" w:rsidP="009B6A33">
      <w:pPr>
        <w:pStyle w:val="ListBullet"/>
      </w:pPr>
      <w:r>
        <w:t>local ethnic or cultural centres</w:t>
      </w:r>
    </w:p>
    <w:p w14:paraId="3517482F" w14:textId="77777777" w:rsidR="00353601" w:rsidRDefault="00353601" w:rsidP="00353601">
      <w:pPr>
        <w:pStyle w:val="ListBullet"/>
      </w:pPr>
      <w:r>
        <w:t>migrant centres</w:t>
      </w:r>
    </w:p>
    <w:p w14:paraId="3EB77D71" w14:textId="77777777" w:rsidR="007D3F71" w:rsidRDefault="007D3F71" w:rsidP="007D3F71">
      <w:pPr>
        <w:pStyle w:val="ListBullet"/>
      </w:pPr>
      <w:r>
        <w:t>aged care homes and retirement villages</w:t>
      </w:r>
    </w:p>
    <w:p w14:paraId="3DB5B232" w14:textId="77777777" w:rsidR="00272372" w:rsidRDefault="00272372" w:rsidP="00272372">
      <w:pPr>
        <w:pStyle w:val="ListBullet"/>
      </w:pPr>
      <w:r>
        <w:t>medical centres and hospitals</w:t>
      </w:r>
    </w:p>
    <w:p w14:paraId="3D667A97" w14:textId="2BAD8A03" w:rsidR="00E862A9" w:rsidRDefault="009B6A33" w:rsidP="009B6A33">
      <w:pPr>
        <w:pStyle w:val="ListBullet"/>
      </w:pPr>
      <w:r>
        <w:t>psycholog</w:t>
      </w:r>
      <w:r w:rsidR="00693AC2">
        <w:t>y</w:t>
      </w:r>
      <w:r>
        <w:t xml:space="preserve"> and psychiatr</w:t>
      </w:r>
      <w:r w:rsidR="00693AC2">
        <w:t>y</w:t>
      </w:r>
      <w:r>
        <w:t xml:space="preserve"> clinics</w:t>
      </w:r>
    </w:p>
    <w:p w14:paraId="1F79D3F7" w14:textId="7D493BAE" w:rsidR="00E862A9" w:rsidRDefault="009B6A33" w:rsidP="009B6A33">
      <w:pPr>
        <w:pStyle w:val="ListBullet"/>
      </w:pPr>
      <w:r>
        <w:t>major transport hubs</w:t>
      </w:r>
    </w:p>
    <w:p w14:paraId="4652EA6F" w14:textId="4DAC6E51" w:rsidR="00353601" w:rsidRDefault="00353601" w:rsidP="009B6A33">
      <w:pPr>
        <w:pStyle w:val="ListBullet"/>
      </w:pPr>
      <w:r>
        <w:t>higher education institutions</w:t>
      </w:r>
    </w:p>
    <w:p w14:paraId="7411CE06" w14:textId="28122D90" w:rsidR="00E862A9" w:rsidRDefault="009B6A33" w:rsidP="009B6A33">
      <w:pPr>
        <w:pStyle w:val="ListBullet"/>
      </w:pPr>
      <w:r>
        <w:t>tax clinics</w:t>
      </w:r>
    </w:p>
    <w:p w14:paraId="1B78C269" w14:textId="04B513E2" w:rsidR="0034532C" w:rsidRDefault="009B6A33" w:rsidP="009B6A33">
      <w:pPr>
        <w:pStyle w:val="ListBullet"/>
      </w:pPr>
      <w:r>
        <w:t xml:space="preserve">banks and financial </w:t>
      </w:r>
      <w:r w:rsidR="0034532C">
        <w:t>institutions</w:t>
      </w:r>
      <w:r>
        <w:t>.</w:t>
      </w:r>
    </w:p>
    <w:p w14:paraId="205B94CD" w14:textId="77777777" w:rsidR="00AB4917" w:rsidRDefault="00AB4917">
      <w:r>
        <w:br w:type="page"/>
      </w:r>
    </w:p>
    <w:p w14:paraId="7651A4E2" w14:textId="7A5B6C6D" w:rsidR="00E862A9" w:rsidRDefault="00E862A9" w:rsidP="00E862A9">
      <w:r>
        <w:lastRenderedPageBreak/>
        <w:t>Information about privacy and data security policies should</w:t>
      </w:r>
      <w:r w:rsidR="00B94DBB">
        <w:t xml:space="preserve"> also</w:t>
      </w:r>
      <w:r>
        <w:t xml:space="preserve"> be readily available to reassure vulnerable taxpayers and their support persons and representatives.</w:t>
      </w:r>
    </w:p>
    <w:p w14:paraId="62EC0CBE" w14:textId="53278991" w:rsidR="004D1CA3" w:rsidRDefault="00576828" w:rsidP="00E862A9">
      <w:proofErr w:type="gramStart"/>
      <w:r>
        <w:t>The</w:t>
      </w:r>
      <w:proofErr w:type="gramEnd"/>
      <w:r>
        <w:t xml:space="preserve"> </w:t>
      </w:r>
      <w:r w:rsidR="00AC6275">
        <w:t>should be</w:t>
      </w:r>
      <w:r w:rsidR="005F52F3">
        <w:t xml:space="preserve"> dedicated</w:t>
      </w:r>
      <w:r w:rsidR="006707AF">
        <w:t xml:space="preserve"> touchpoints and contact channels</w:t>
      </w:r>
      <w:r w:rsidR="004E773E">
        <w:t xml:space="preserve"> for the public, including a phone line, email address and/or website contact page, and </w:t>
      </w:r>
      <w:r w:rsidR="00995766">
        <w:t>ATO information pages</w:t>
      </w:r>
      <w:r w:rsidR="00AC6275">
        <w:t xml:space="preserve"> which are easy to find and navigate</w:t>
      </w:r>
      <w:r w:rsidR="004D1CA3">
        <w:t>.</w:t>
      </w:r>
    </w:p>
    <w:p w14:paraId="32ACFAD3" w14:textId="3CDFA409" w:rsidR="00F41747" w:rsidRDefault="00F41747" w:rsidP="00E862A9">
      <w:r>
        <w:t>Where a taxpayer uses a digital channel to engage with the ATO t</w:t>
      </w:r>
      <w:r w:rsidR="00E018CA">
        <w:t>here should be means to connect to a human operator for additional assistance.</w:t>
      </w:r>
    </w:p>
    <w:p w14:paraId="03AD1E9A" w14:textId="3F8C2C13" w:rsidR="0054342E" w:rsidRDefault="0088214B" w:rsidP="0088214B">
      <w:pPr>
        <w:pStyle w:val="Heading2"/>
      </w:pPr>
      <w:r>
        <w:t>Core focus area: Staff</w:t>
      </w:r>
    </w:p>
    <w:p w14:paraId="1CAA1EC7" w14:textId="4DA2D189" w:rsidR="00D11709" w:rsidRDefault="00C63461" w:rsidP="00C63461">
      <w:r>
        <w:t xml:space="preserve">ATO employees and contractors who have frontline contact with taxpayers or who are </w:t>
      </w:r>
      <w:proofErr w:type="gramStart"/>
      <w:r>
        <w:t xml:space="preserve">in </w:t>
      </w:r>
      <w:r w:rsidR="00032165">
        <w:t xml:space="preserve">a </w:t>
      </w:r>
      <w:r>
        <w:t>position</w:t>
      </w:r>
      <w:proofErr w:type="gramEnd"/>
      <w:r w:rsidR="00032165">
        <w:t xml:space="preserve"> to </w:t>
      </w:r>
      <w:r w:rsidR="002740F2">
        <w:t>influence</w:t>
      </w:r>
      <w:r w:rsidR="00032165">
        <w:t xml:space="preserve"> decisions in relation to a taxpayer’s tax affairs</w:t>
      </w:r>
      <w:r>
        <w:t xml:space="preserve"> should undertake compulsory training</w:t>
      </w:r>
      <w:r w:rsidR="00993D4C">
        <w:t xml:space="preserve"> which is tailored and</w:t>
      </w:r>
      <w:r w:rsidR="00D11709">
        <w:t xml:space="preserve"> appropriate to the role</w:t>
      </w:r>
      <w:r>
        <w:t>.</w:t>
      </w:r>
    </w:p>
    <w:p w14:paraId="0D0F33A4" w14:textId="3C55CF4C" w:rsidR="00C63461" w:rsidRDefault="00D11709" w:rsidP="00C63461">
      <w:r>
        <w:t>Staff who have direct contact with taxpayers</w:t>
      </w:r>
      <w:r w:rsidR="0065227F">
        <w:t xml:space="preserve"> </w:t>
      </w:r>
      <w:r w:rsidR="000236CD">
        <w:t>should</w:t>
      </w:r>
      <w:r w:rsidR="0045230E">
        <w:t xml:space="preserve"> </w:t>
      </w:r>
      <w:r w:rsidR="00495560">
        <w:t xml:space="preserve">be able to </w:t>
      </w:r>
      <w:r w:rsidR="005B08D4">
        <w:t xml:space="preserve">direct and advise taxpayers who specifically ask for assistance in relation to their vulnerabilities. Staff also need to be </w:t>
      </w:r>
      <w:r w:rsidR="001624F5">
        <w:t>able to recognise cues</w:t>
      </w:r>
      <w:r w:rsidR="00401571">
        <w:t xml:space="preserve"> and signs of vulnerabilities to proactively </w:t>
      </w:r>
      <w:proofErr w:type="gramStart"/>
      <w:r w:rsidR="00401571">
        <w:t>offer assistance to</w:t>
      </w:r>
      <w:proofErr w:type="gramEnd"/>
      <w:r w:rsidR="00401571">
        <w:t xml:space="preserve"> taxpayers.</w:t>
      </w:r>
      <w:r w:rsidR="00AF4FEC">
        <w:t xml:space="preserve"> In addition, </w:t>
      </w:r>
      <w:r w:rsidR="00251B54">
        <w:t>staff should be trained to deal sensitively</w:t>
      </w:r>
      <w:r w:rsidR="0053657A">
        <w:t xml:space="preserve"> and appropriately</w:t>
      </w:r>
      <w:r w:rsidR="00251B54">
        <w:t xml:space="preserve"> with taxpayers who may have disengaged with the tax system</w:t>
      </w:r>
      <w:r w:rsidR="00C32D4E">
        <w:t>, completed their obligations incorrectly</w:t>
      </w:r>
      <w:r w:rsidR="0053657A">
        <w:t xml:space="preserve"> or fallen behind on their obligations, where this is not due to </w:t>
      </w:r>
      <w:r w:rsidR="00D16F3E">
        <w:t xml:space="preserve">a deliberate, malicious approach to their responsibilities but rather </w:t>
      </w:r>
      <w:proofErr w:type="gramStart"/>
      <w:r w:rsidR="00D16F3E">
        <w:t>as</w:t>
      </w:r>
      <w:r w:rsidR="0053657A">
        <w:t xml:space="preserve"> a result of</w:t>
      </w:r>
      <w:proofErr w:type="gramEnd"/>
      <w:r w:rsidR="0053657A">
        <w:t xml:space="preserve"> their vulnerabilities an</w:t>
      </w:r>
      <w:r w:rsidR="00C32D4E">
        <w:t>d circumstances.</w:t>
      </w:r>
    </w:p>
    <w:p w14:paraId="19603AE5" w14:textId="061C1A3F" w:rsidR="0078194A" w:rsidRDefault="0078194A" w:rsidP="00C63461">
      <w:r>
        <w:t>We note that</w:t>
      </w:r>
      <w:r w:rsidR="00563CE2">
        <w:t xml:space="preserve"> the key focus of the </w:t>
      </w:r>
      <w:r w:rsidR="00E936B2">
        <w:t>Tax Ombudsman’s</w:t>
      </w:r>
      <w:r w:rsidR="00563CE2">
        <w:t xml:space="preserve"> review</w:t>
      </w:r>
      <w:r w:rsidR="00490446">
        <w:t xml:space="preserve"> was on the ATO’s frontline services</w:t>
      </w:r>
      <w:r w:rsidR="0083499F">
        <w:t xml:space="preserve"> as the frontline teams are often the first point of contact with a victim-survivor of financial abuse.</w:t>
      </w:r>
      <w:r w:rsidR="00455A8F">
        <w:t xml:space="preserve"> The recommendations</w:t>
      </w:r>
      <w:r w:rsidR="004A3696">
        <w:t xml:space="preserve"> in relation to </w:t>
      </w:r>
      <w:r w:rsidR="009D5317">
        <w:t>equipping ATO staff to id</w:t>
      </w:r>
      <w:r w:rsidR="009B6A81">
        <w:t>entify potential financial abuse</w:t>
      </w:r>
      <w:r w:rsidR="00E04BBA">
        <w:t xml:space="preserve"> may be able to be applied more widely</w:t>
      </w:r>
      <w:r w:rsidR="00917FE7">
        <w:t xml:space="preserve"> to other forms of taxpayer vulnerability.</w:t>
      </w:r>
    </w:p>
    <w:p w14:paraId="4AD4A743" w14:textId="40747A3A" w:rsidR="0045230E" w:rsidRDefault="00D85D2D" w:rsidP="00C63461">
      <w:r>
        <w:t xml:space="preserve">The ATO should also ensure that, once the Framework is finalised, relevant Law Administration Practice Statements are updated to incorporate the relevant elements of the Framework. </w:t>
      </w:r>
      <w:r w:rsidR="002929B9">
        <w:t>Decision</w:t>
      </w:r>
      <w:r w:rsidR="00AF6F02">
        <w:t xml:space="preserve"> </w:t>
      </w:r>
      <w:r w:rsidR="002929B9">
        <w:t>makers and those who influence decision</w:t>
      </w:r>
      <w:r w:rsidR="00AF6F02">
        <w:t xml:space="preserve"> </w:t>
      </w:r>
      <w:r w:rsidR="002929B9">
        <w:t>making should be subject to ATO-wide policies</w:t>
      </w:r>
      <w:r w:rsidR="00FE18D5">
        <w:t xml:space="preserve"> and guidelines</w:t>
      </w:r>
      <w:r w:rsidR="00DF6AF3">
        <w:t xml:space="preserve"> — by way of Practice Statements and otherwise —</w:t>
      </w:r>
      <w:r w:rsidR="00902874">
        <w:t xml:space="preserve"> to ensure that decisions</w:t>
      </w:r>
      <w:r w:rsidR="009B1B22">
        <w:t xml:space="preserve"> in relation to all taxpayers, including those who are subject to </w:t>
      </w:r>
      <w:proofErr w:type="gramStart"/>
      <w:r w:rsidR="009B1B22">
        <w:t>particular vulnerabilities</w:t>
      </w:r>
      <w:proofErr w:type="gramEnd"/>
      <w:r w:rsidR="009B1B22">
        <w:t>,</w:t>
      </w:r>
      <w:r w:rsidR="00902874">
        <w:t xml:space="preserve"> are </w:t>
      </w:r>
      <w:r w:rsidR="002E6253">
        <w:t xml:space="preserve">always </w:t>
      </w:r>
      <w:r w:rsidR="00902874">
        <w:t>fair</w:t>
      </w:r>
      <w:r w:rsidR="00763882">
        <w:t>, consistent and in line with ATO policies.</w:t>
      </w:r>
    </w:p>
    <w:p w14:paraId="475388C4" w14:textId="77777777" w:rsidR="00AB4917" w:rsidRDefault="00AB4917">
      <w:r>
        <w:br w:type="page"/>
      </w:r>
    </w:p>
    <w:p w14:paraId="13D20F5C" w14:textId="3C092EC1" w:rsidR="00B26C7B" w:rsidRPr="004C241B" w:rsidRDefault="00B26C7B" w:rsidP="00B26C7B">
      <w:r w:rsidRPr="004C241B">
        <w:lastRenderedPageBreak/>
        <w:t xml:space="preserve">If you have any queries or require further information, please don’t hesitate to contact Tony Greco, General Manager, Technical Policy, either at </w:t>
      </w:r>
      <w:hyperlink r:id="rId11" w:history="1">
        <w:r w:rsidRPr="004C241B">
          <w:rPr>
            <w:rStyle w:val="Hyperlink"/>
          </w:rPr>
          <w:t>tony.greco@publicaccountants.org.au</w:t>
        </w:r>
      </w:hyperlink>
      <w:r w:rsidRPr="004C241B">
        <w:t xml:space="preserve"> or mobile: 0419 369 038</w:t>
      </w:r>
      <w:r w:rsidR="00C54AF7">
        <w:t>.</w:t>
      </w:r>
    </w:p>
    <w:p w14:paraId="3174EE7C" w14:textId="7468320B" w:rsidR="00B26C7B" w:rsidRDefault="00B26C7B" w:rsidP="00B26C7B">
      <w:r w:rsidRPr="004C241B">
        <w:t xml:space="preserve">Yours sincerely </w:t>
      </w:r>
    </w:p>
    <w:p w14:paraId="10053033" w14:textId="38B3F609" w:rsidR="00C20DE5" w:rsidRDefault="003806B5" w:rsidP="00B26C7B">
      <w:r>
        <w:rPr>
          <w:noProof/>
        </w:rPr>
        <w:drawing>
          <wp:inline distT="0" distB="0" distL="0" distR="0" wp14:anchorId="232FD43C" wp14:editId="6AF284D1">
            <wp:extent cx="819785" cy="931545"/>
            <wp:effectExtent l="0" t="0" r="0" b="1905"/>
            <wp:docPr id="94980092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00927" name="Picture 1" descr="A signature o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785" cy="931545"/>
                    </a:xfrm>
                    <a:prstGeom prst="rect">
                      <a:avLst/>
                    </a:prstGeom>
                    <a:noFill/>
                    <a:ln>
                      <a:noFill/>
                    </a:ln>
                  </pic:spPr>
                </pic:pic>
              </a:graphicData>
            </a:graphic>
          </wp:inline>
        </w:drawing>
      </w:r>
    </w:p>
    <w:p w14:paraId="6DEDCC3B" w14:textId="77777777" w:rsidR="00B26C7B" w:rsidRPr="004C241B" w:rsidRDefault="00B26C7B" w:rsidP="00B26C7B">
      <w:r w:rsidRPr="004C241B">
        <w:t>Tony Greco,</w:t>
      </w:r>
    </w:p>
    <w:p w14:paraId="56C0F4AF" w14:textId="77777777" w:rsidR="00B26C7B" w:rsidRPr="004C241B" w:rsidRDefault="00B26C7B" w:rsidP="00B26C7B">
      <w:r w:rsidRPr="004C241B">
        <w:t>General Manager, Technical Policy</w:t>
      </w:r>
    </w:p>
    <w:p w14:paraId="4377C427" w14:textId="77777777" w:rsidR="00B26C7B" w:rsidRPr="004C241B" w:rsidRDefault="00B26C7B" w:rsidP="00B26C7B">
      <w:r w:rsidRPr="004C241B">
        <w:t>Institute of Public Accountants</w:t>
      </w:r>
    </w:p>
    <w:p w14:paraId="7BF67790" w14:textId="77777777" w:rsidR="00B2570D" w:rsidRPr="004C241B" w:rsidRDefault="00B2570D" w:rsidP="00C2140B">
      <w:pPr>
        <w:rPr>
          <w:bCs/>
          <w:color w:val="313131"/>
          <w:shd w:val="clear" w:color="auto" w:fill="FFFFFF"/>
          <w:lang w:val="en-US"/>
        </w:rPr>
      </w:pPr>
    </w:p>
    <w:p w14:paraId="61D16615" w14:textId="77777777" w:rsidR="00E75AA7" w:rsidRPr="004C241B" w:rsidRDefault="00E75AA7" w:rsidP="00C2140B">
      <w:pPr>
        <w:rPr>
          <w:bCs/>
          <w:color w:val="313131"/>
          <w:shd w:val="clear" w:color="auto" w:fill="FFFFFF"/>
          <w:lang w:val="en-US"/>
        </w:rPr>
      </w:pPr>
    </w:p>
    <w:p w14:paraId="2F963E1C" w14:textId="77777777" w:rsidR="00C2140B" w:rsidRPr="004C241B" w:rsidRDefault="00C2140B" w:rsidP="00C2140B">
      <w:pPr>
        <w:pBdr>
          <w:top w:val="single" w:sz="4" w:space="0" w:color="CA5420"/>
          <w:left w:val="single" w:sz="4" w:space="4" w:color="CA5420"/>
          <w:bottom w:val="single" w:sz="4" w:space="0" w:color="CA5420"/>
          <w:right w:val="single" w:sz="4" w:space="4" w:color="CA5420"/>
        </w:pBdr>
        <w:rPr>
          <w:bCs/>
          <w:color w:val="313131"/>
          <w:shd w:val="clear" w:color="auto" w:fill="FFFFFF"/>
          <w:lang w:val="en-US"/>
        </w:rPr>
      </w:pPr>
      <w:r w:rsidRPr="004C241B">
        <w:rPr>
          <w:bCs/>
          <w:color w:val="313131"/>
          <w:shd w:val="clear" w:color="auto" w:fill="FFFFFF"/>
          <w:lang w:val="en-US"/>
        </w:rPr>
        <w:t>COPYRIGHT</w:t>
      </w:r>
    </w:p>
    <w:p w14:paraId="1FBCAFE7" w14:textId="39B0A0BE" w:rsidR="00D9137D" w:rsidRPr="004C241B" w:rsidRDefault="00C2140B" w:rsidP="007A3E5A">
      <w:pPr>
        <w:pBdr>
          <w:top w:val="single" w:sz="4" w:space="0" w:color="CA5420"/>
          <w:left w:val="single" w:sz="4" w:space="4" w:color="CA5420"/>
          <w:bottom w:val="single" w:sz="4" w:space="0" w:color="CA5420"/>
          <w:right w:val="single" w:sz="4" w:space="4" w:color="CA5420"/>
        </w:pBdr>
        <w:rPr>
          <w:bCs/>
          <w:color w:val="313131"/>
          <w:shd w:val="clear" w:color="auto" w:fill="FFFFFF"/>
          <w:lang w:val="en-US"/>
        </w:rPr>
      </w:pPr>
      <w:r w:rsidRPr="004C241B">
        <w:rPr>
          <w:bCs/>
          <w:color w:val="313131"/>
          <w:shd w:val="clear" w:color="auto" w:fill="FFFFFF"/>
          <w:lang w:val="en-US"/>
        </w:rPr>
        <w:t xml:space="preserve">© Institute of Public Accountants (ABN 81 004 130 643) 2008.  All rights reserved.  Save and except for third party content, </w:t>
      </w:r>
      <w:r w:rsidRPr="004C241B">
        <w:rPr>
          <w:bCs/>
          <w:color w:val="313131"/>
          <w:shd w:val="clear" w:color="auto" w:fill="FFFFFF"/>
          <w:lang w:val="en-US"/>
        </w:rPr>
        <w:br/>
        <w:t>all content in these materials is owned or licensed by the Institute of Public Accountants (ABN 81 004 130 643).</w:t>
      </w:r>
    </w:p>
    <w:sectPr w:rsidR="00D9137D" w:rsidRPr="004C241B" w:rsidSect="007A3E5A">
      <w:head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574C7" w14:textId="77777777" w:rsidR="00090CB5" w:rsidRDefault="00090CB5" w:rsidP="00C2140B">
      <w:pPr>
        <w:spacing w:after="0"/>
      </w:pPr>
      <w:r>
        <w:separator/>
      </w:r>
    </w:p>
  </w:endnote>
  <w:endnote w:type="continuationSeparator" w:id="0">
    <w:p w14:paraId="6E936EA4" w14:textId="77777777" w:rsidR="00090CB5" w:rsidRDefault="00090CB5" w:rsidP="00C2140B">
      <w:pPr>
        <w:spacing w:after="0"/>
      </w:pPr>
      <w:r>
        <w:continuationSeparator/>
      </w:r>
    </w:p>
  </w:endnote>
  <w:endnote w:type="continuationNotice" w:id="1">
    <w:p w14:paraId="44F42DED" w14:textId="77777777" w:rsidR="00090CB5" w:rsidRDefault="00090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7B4F" w14:textId="77777777" w:rsidR="00090CB5" w:rsidRDefault="00090CB5" w:rsidP="00C2140B">
      <w:pPr>
        <w:spacing w:after="0"/>
      </w:pPr>
      <w:r>
        <w:separator/>
      </w:r>
    </w:p>
  </w:footnote>
  <w:footnote w:type="continuationSeparator" w:id="0">
    <w:p w14:paraId="0F4AE29F" w14:textId="77777777" w:rsidR="00090CB5" w:rsidRDefault="00090CB5" w:rsidP="00C2140B">
      <w:pPr>
        <w:spacing w:after="0"/>
      </w:pPr>
      <w:r>
        <w:continuationSeparator/>
      </w:r>
    </w:p>
  </w:footnote>
  <w:footnote w:type="continuationNotice" w:id="1">
    <w:p w14:paraId="4E6BD76A" w14:textId="77777777" w:rsidR="00090CB5" w:rsidRDefault="00090C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272" w14:textId="544C62C5" w:rsidR="001620AA" w:rsidRDefault="001620AA">
    <w:pPr>
      <w:pStyle w:val="Header"/>
    </w:pPr>
    <w:r>
      <w:rPr>
        <w:noProof/>
        <w:color w:val="192A67"/>
        <w:sz w:val="28"/>
        <w:szCs w:val="24"/>
        <w:lang w:eastAsia="en-AU"/>
      </w:rPr>
      <w:drawing>
        <wp:anchor distT="0" distB="0" distL="114300" distR="114300" simplePos="0" relativeHeight="251658240" behindDoc="1" locked="0" layoutInCell="1" allowOverlap="1" wp14:anchorId="256A22B6" wp14:editId="6BF83033">
          <wp:simplePos x="0" y="0"/>
          <wp:positionH relativeFrom="page">
            <wp:align>left</wp:align>
          </wp:positionH>
          <wp:positionV relativeFrom="page">
            <wp:posOffset>-635</wp:posOffset>
          </wp:positionV>
          <wp:extent cx="7555228" cy="216000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_Brand_Dev_A4 Head_A-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28" cy="2160000"/>
                  </a:xfrm>
                  <a:prstGeom prst="rect">
                    <a:avLst/>
                  </a:prstGeom>
                </pic:spPr>
              </pic:pic>
            </a:graphicData>
          </a:graphic>
          <wp14:sizeRelH relativeFrom="margin">
            <wp14:pctWidth>0</wp14:pctWidth>
          </wp14:sizeRelH>
          <wp14:sizeRelV relativeFrom="margin">
            <wp14:pctHeight>0</wp14:pctHeight>
          </wp14:sizeRelV>
        </wp:anchor>
      </w:drawing>
    </w:r>
  </w:p>
  <w:p w14:paraId="3623B35A" w14:textId="77777777" w:rsidR="001620AA" w:rsidRDefault="0016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98C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69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10D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8A8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0459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CAE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82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88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22A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47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E6904"/>
    <w:multiLevelType w:val="hybridMultilevel"/>
    <w:tmpl w:val="9CA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F265B6"/>
    <w:multiLevelType w:val="hybridMultilevel"/>
    <w:tmpl w:val="6A2C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5C5501"/>
    <w:multiLevelType w:val="hybridMultilevel"/>
    <w:tmpl w:val="E83275F0"/>
    <w:lvl w:ilvl="0" w:tplc="DEA85F6E">
      <w:start w:val="1"/>
      <w:numFmt w:val="bullet"/>
      <w:pStyle w:val="ListBullet"/>
      <w:lvlText w:val=""/>
      <w:lvlJc w:val="left"/>
      <w:pPr>
        <w:ind w:left="720" w:hanging="360"/>
      </w:pPr>
      <w:rPr>
        <w:rFonts w:ascii="Symbol" w:hAnsi="Symbol" w:hint="default"/>
      </w:rPr>
    </w:lvl>
    <w:lvl w:ilvl="1" w:tplc="1F706A28">
      <w:start w:val="1"/>
      <w:numFmt w:val="bullet"/>
      <w:pStyle w:val="ListBullet2"/>
      <w:lvlText w:val=""/>
      <w:lvlJc w:val="left"/>
      <w:pPr>
        <w:ind w:left="1440" w:hanging="360"/>
      </w:pPr>
      <w:rPr>
        <w:rFonts w:ascii="Symbol" w:hAnsi="Symbol" w:hint="default"/>
      </w:rPr>
    </w:lvl>
    <w:lvl w:ilvl="2" w:tplc="D7C09F5A">
      <w:start w:val="1"/>
      <w:numFmt w:val="bullet"/>
      <w:pStyle w:val="ListBullet3"/>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E1D82"/>
    <w:multiLevelType w:val="multilevel"/>
    <w:tmpl w:val="6676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54624"/>
    <w:multiLevelType w:val="hybridMultilevel"/>
    <w:tmpl w:val="BE44AB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E14B3C"/>
    <w:multiLevelType w:val="hybridMultilevel"/>
    <w:tmpl w:val="1A64CA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A476B8"/>
    <w:multiLevelType w:val="hybridMultilevel"/>
    <w:tmpl w:val="8578E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EA5527"/>
    <w:multiLevelType w:val="hybridMultilevel"/>
    <w:tmpl w:val="A0E85B6C"/>
    <w:lvl w:ilvl="0" w:tplc="DC683372">
      <w:start w:val="1"/>
      <w:numFmt w:val="decimal"/>
      <w:pStyle w:val="ListNumber"/>
      <w:lvlText w:val="%1."/>
      <w:lvlJc w:val="left"/>
      <w:pPr>
        <w:ind w:left="720" w:hanging="360"/>
      </w:pPr>
    </w:lvl>
    <w:lvl w:ilvl="1" w:tplc="C79428CE">
      <w:start w:val="1"/>
      <w:numFmt w:val="lowerLetter"/>
      <w:pStyle w:val="ListNumber2"/>
      <w:lvlText w:val="%2."/>
      <w:lvlJc w:val="left"/>
      <w:pPr>
        <w:ind w:left="1440" w:hanging="360"/>
      </w:pPr>
    </w:lvl>
    <w:lvl w:ilvl="2" w:tplc="A4109EC6">
      <w:start w:val="1"/>
      <w:numFmt w:val="lowerRoman"/>
      <w:pStyle w:val="ListNumber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3E4B87"/>
    <w:multiLevelType w:val="hybridMultilevel"/>
    <w:tmpl w:val="71343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DF6494"/>
    <w:multiLevelType w:val="multilevel"/>
    <w:tmpl w:val="A316FE50"/>
    <w:numStyleLink w:val="ChapterList"/>
  </w:abstractNum>
  <w:num w:numId="1" w16cid:durableId="753938490">
    <w:abstractNumId w:val="15"/>
  </w:num>
  <w:num w:numId="2" w16cid:durableId="257252934">
    <w:abstractNumId w:val="16"/>
  </w:num>
  <w:num w:numId="3" w16cid:durableId="1537624551">
    <w:abstractNumId w:val="10"/>
  </w:num>
  <w:num w:numId="4" w16cid:durableId="658078218">
    <w:abstractNumId w:val="11"/>
  </w:num>
  <w:num w:numId="5" w16cid:durableId="1637222842">
    <w:abstractNumId w:val="20"/>
    <w:lvlOverride w:ilvl="0">
      <w:lvl w:ilvl="0">
        <w:start w:val="1"/>
        <w:numFmt w:val="decimal"/>
        <w:pStyle w:val="ChapterHeading"/>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lvl>
    </w:lvlOverride>
    <w:lvlOverride w:ilvl="2">
      <w:lvl w:ilvl="2">
        <w:start w:val="1"/>
        <w:numFmt w:val="decimal"/>
        <w:lvlRestart w:val="1"/>
        <w:pStyle w:val="Diagram"/>
        <w:suff w:val="nothing"/>
        <w:lvlText w:val="Diagram %1.%3"/>
        <w:lvlJc w:val="left"/>
        <w:pPr>
          <w:ind w:left="1134" w:firstLine="0"/>
        </w:pPr>
      </w:lvl>
    </w:lvlOverride>
    <w:lvlOverride w:ilvl="3">
      <w:lvl w:ilvl="3">
        <w:start w:val="1"/>
        <w:numFmt w:val="decimal"/>
        <w:lvlRestart w:val="1"/>
        <w:pStyle w:val="ExampleHeading"/>
        <w:suff w:val="nothing"/>
        <w:lvlText w:val="Example %1.%4"/>
        <w:lvlJc w:val="left"/>
        <w:pPr>
          <w:ind w:left="1134" w:firstLine="0"/>
        </w:pPr>
      </w:lvl>
    </w:lvlOverride>
    <w:lvlOverride w:ilvl="4">
      <w:lvl w:ilvl="4">
        <w:start w:val="1"/>
        <w:numFmt w:val="decimal"/>
        <w:lvlRestart w:val="1"/>
        <w:pStyle w:val="TableHeadingoutsidetable"/>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6" w16cid:durableId="1911379073">
    <w:abstractNumId w:val="19"/>
  </w:num>
  <w:num w:numId="7" w16cid:durableId="329064336">
    <w:abstractNumId w:val="14"/>
  </w:num>
  <w:num w:numId="8" w16cid:durableId="1105537257">
    <w:abstractNumId w:val="12"/>
  </w:num>
  <w:num w:numId="9" w16cid:durableId="1407803489">
    <w:abstractNumId w:val="17"/>
  </w:num>
  <w:num w:numId="10" w16cid:durableId="1727070607">
    <w:abstractNumId w:val="9"/>
  </w:num>
  <w:num w:numId="11" w16cid:durableId="1324049907">
    <w:abstractNumId w:val="7"/>
  </w:num>
  <w:num w:numId="12" w16cid:durableId="2104571719">
    <w:abstractNumId w:val="6"/>
  </w:num>
  <w:num w:numId="13" w16cid:durableId="881790726">
    <w:abstractNumId w:val="5"/>
  </w:num>
  <w:num w:numId="14" w16cid:durableId="267352215">
    <w:abstractNumId w:val="4"/>
  </w:num>
  <w:num w:numId="15" w16cid:durableId="227888738">
    <w:abstractNumId w:val="8"/>
  </w:num>
  <w:num w:numId="16" w16cid:durableId="1401555487">
    <w:abstractNumId w:val="3"/>
  </w:num>
  <w:num w:numId="17" w16cid:durableId="1900555892">
    <w:abstractNumId w:val="2"/>
  </w:num>
  <w:num w:numId="18" w16cid:durableId="560798493">
    <w:abstractNumId w:val="1"/>
  </w:num>
  <w:num w:numId="19" w16cid:durableId="77797104">
    <w:abstractNumId w:val="0"/>
  </w:num>
  <w:num w:numId="20" w16cid:durableId="127015583">
    <w:abstractNumId w:val="13"/>
  </w:num>
  <w:num w:numId="21" w16cid:durableId="128207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B"/>
    <w:rsid w:val="00013C85"/>
    <w:rsid w:val="0002122D"/>
    <w:rsid w:val="00021CBE"/>
    <w:rsid w:val="000236CD"/>
    <w:rsid w:val="00032165"/>
    <w:rsid w:val="00034316"/>
    <w:rsid w:val="00034913"/>
    <w:rsid w:val="00041B32"/>
    <w:rsid w:val="00043393"/>
    <w:rsid w:val="00052BFC"/>
    <w:rsid w:val="00053E73"/>
    <w:rsid w:val="00055229"/>
    <w:rsid w:val="000650E4"/>
    <w:rsid w:val="00066663"/>
    <w:rsid w:val="000701AE"/>
    <w:rsid w:val="000746C7"/>
    <w:rsid w:val="00075EAF"/>
    <w:rsid w:val="00083FE6"/>
    <w:rsid w:val="00090CB5"/>
    <w:rsid w:val="0009381B"/>
    <w:rsid w:val="0009621F"/>
    <w:rsid w:val="000A040F"/>
    <w:rsid w:val="000A4D06"/>
    <w:rsid w:val="000A627F"/>
    <w:rsid w:val="000B3B86"/>
    <w:rsid w:val="000B7E9D"/>
    <w:rsid w:val="000C2940"/>
    <w:rsid w:val="000C2BD4"/>
    <w:rsid w:val="000C7ED5"/>
    <w:rsid w:val="000D5FB0"/>
    <w:rsid w:val="000E0035"/>
    <w:rsid w:val="000E139C"/>
    <w:rsid w:val="000F27FE"/>
    <w:rsid w:val="000F2AB2"/>
    <w:rsid w:val="000F5079"/>
    <w:rsid w:val="000F53F7"/>
    <w:rsid w:val="0010066C"/>
    <w:rsid w:val="001115E4"/>
    <w:rsid w:val="00112A79"/>
    <w:rsid w:val="00120FDC"/>
    <w:rsid w:val="00125033"/>
    <w:rsid w:val="001310F7"/>
    <w:rsid w:val="0014335F"/>
    <w:rsid w:val="001438F5"/>
    <w:rsid w:val="001463DF"/>
    <w:rsid w:val="00152FEE"/>
    <w:rsid w:val="00155011"/>
    <w:rsid w:val="00155ADF"/>
    <w:rsid w:val="00155E5E"/>
    <w:rsid w:val="001620AA"/>
    <w:rsid w:val="001624F5"/>
    <w:rsid w:val="00165DCF"/>
    <w:rsid w:val="0017578E"/>
    <w:rsid w:val="00186DB0"/>
    <w:rsid w:val="001965B2"/>
    <w:rsid w:val="001A3F9C"/>
    <w:rsid w:val="001A6742"/>
    <w:rsid w:val="001A7F6A"/>
    <w:rsid w:val="001B2652"/>
    <w:rsid w:val="001B288F"/>
    <w:rsid w:val="001B2B45"/>
    <w:rsid w:val="001B3D0A"/>
    <w:rsid w:val="001B6C36"/>
    <w:rsid w:val="001B794B"/>
    <w:rsid w:val="001C0C19"/>
    <w:rsid w:val="001C4B29"/>
    <w:rsid w:val="001D01A7"/>
    <w:rsid w:val="001D3073"/>
    <w:rsid w:val="001E08C6"/>
    <w:rsid w:val="001E1539"/>
    <w:rsid w:val="001E2B70"/>
    <w:rsid w:val="001F7035"/>
    <w:rsid w:val="002121A9"/>
    <w:rsid w:val="00217E5B"/>
    <w:rsid w:val="00222032"/>
    <w:rsid w:val="00227376"/>
    <w:rsid w:val="00234181"/>
    <w:rsid w:val="002349E2"/>
    <w:rsid w:val="0023611F"/>
    <w:rsid w:val="002512C5"/>
    <w:rsid w:val="00251877"/>
    <w:rsid w:val="00251B54"/>
    <w:rsid w:val="002557FC"/>
    <w:rsid w:val="00266840"/>
    <w:rsid w:val="00272127"/>
    <w:rsid w:val="00272372"/>
    <w:rsid w:val="002740F2"/>
    <w:rsid w:val="00274C63"/>
    <w:rsid w:val="00281BA2"/>
    <w:rsid w:val="002929B9"/>
    <w:rsid w:val="002930BD"/>
    <w:rsid w:val="002A2E4C"/>
    <w:rsid w:val="002A78A4"/>
    <w:rsid w:val="002C1A45"/>
    <w:rsid w:val="002D3E6D"/>
    <w:rsid w:val="002D7799"/>
    <w:rsid w:val="002E6253"/>
    <w:rsid w:val="002F05A8"/>
    <w:rsid w:val="002F0C50"/>
    <w:rsid w:val="002F369E"/>
    <w:rsid w:val="0030182B"/>
    <w:rsid w:val="00301BD6"/>
    <w:rsid w:val="003107AF"/>
    <w:rsid w:val="003218AE"/>
    <w:rsid w:val="00325DC1"/>
    <w:rsid w:val="0034532C"/>
    <w:rsid w:val="00347333"/>
    <w:rsid w:val="00347797"/>
    <w:rsid w:val="003528ED"/>
    <w:rsid w:val="00352B5A"/>
    <w:rsid w:val="00353601"/>
    <w:rsid w:val="00360027"/>
    <w:rsid w:val="00363A09"/>
    <w:rsid w:val="00365D2D"/>
    <w:rsid w:val="00367F7A"/>
    <w:rsid w:val="00371226"/>
    <w:rsid w:val="00372DB1"/>
    <w:rsid w:val="003806B5"/>
    <w:rsid w:val="00380B8F"/>
    <w:rsid w:val="00382F45"/>
    <w:rsid w:val="00387C5E"/>
    <w:rsid w:val="0039046C"/>
    <w:rsid w:val="003920F5"/>
    <w:rsid w:val="00392603"/>
    <w:rsid w:val="00392F72"/>
    <w:rsid w:val="00393091"/>
    <w:rsid w:val="00393DC2"/>
    <w:rsid w:val="00394328"/>
    <w:rsid w:val="003A70F9"/>
    <w:rsid w:val="003B3131"/>
    <w:rsid w:val="003B7AFE"/>
    <w:rsid w:val="003C5B03"/>
    <w:rsid w:val="003D2C7C"/>
    <w:rsid w:val="003D33E1"/>
    <w:rsid w:val="003D41D7"/>
    <w:rsid w:val="003D686C"/>
    <w:rsid w:val="003E2344"/>
    <w:rsid w:val="003F1AA3"/>
    <w:rsid w:val="003F3A22"/>
    <w:rsid w:val="00401571"/>
    <w:rsid w:val="0040266C"/>
    <w:rsid w:val="0040703A"/>
    <w:rsid w:val="0040720F"/>
    <w:rsid w:val="0043394E"/>
    <w:rsid w:val="0043432E"/>
    <w:rsid w:val="00435415"/>
    <w:rsid w:val="004374F0"/>
    <w:rsid w:val="00443704"/>
    <w:rsid w:val="0045036D"/>
    <w:rsid w:val="0045230E"/>
    <w:rsid w:val="00455A8F"/>
    <w:rsid w:val="00460167"/>
    <w:rsid w:val="00460DA5"/>
    <w:rsid w:val="0046715F"/>
    <w:rsid w:val="004722A7"/>
    <w:rsid w:val="00484557"/>
    <w:rsid w:val="00490446"/>
    <w:rsid w:val="0049275A"/>
    <w:rsid w:val="00495560"/>
    <w:rsid w:val="0049727A"/>
    <w:rsid w:val="004A09B9"/>
    <w:rsid w:val="004A0CF2"/>
    <w:rsid w:val="004A3696"/>
    <w:rsid w:val="004A39A8"/>
    <w:rsid w:val="004A3BB3"/>
    <w:rsid w:val="004A7F58"/>
    <w:rsid w:val="004B784C"/>
    <w:rsid w:val="004B7C5E"/>
    <w:rsid w:val="004C11AF"/>
    <w:rsid w:val="004C241B"/>
    <w:rsid w:val="004D1CA3"/>
    <w:rsid w:val="004D3FF2"/>
    <w:rsid w:val="004E57F3"/>
    <w:rsid w:val="004E773E"/>
    <w:rsid w:val="005016D9"/>
    <w:rsid w:val="00501E12"/>
    <w:rsid w:val="00502906"/>
    <w:rsid w:val="00505246"/>
    <w:rsid w:val="00507D5B"/>
    <w:rsid w:val="00507F9F"/>
    <w:rsid w:val="00510144"/>
    <w:rsid w:val="005123AB"/>
    <w:rsid w:val="00513D13"/>
    <w:rsid w:val="00521356"/>
    <w:rsid w:val="00527577"/>
    <w:rsid w:val="00527A17"/>
    <w:rsid w:val="005315FF"/>
    <w:rsid w:val="0053657A"/>
    <w:rsid w:val="005378A4"/>
    <w:rsid w:val="0054342E"/>
    <w:rsid w:val="0054658B"/>
    <w:rsid w:val="005553E6"/>
    <w:rsid w:val="00561888"/>
    <w:rsid w:val="00563CE2"/>
    <w:rsid w:val="00564FD7"/>
    <w:rsid w:val="00566430"/>
    <w:rsid w:val="00571EC5"/>
    <w:rsid w:val="005746FC"/>
    <w:rsid w:val="00576828"/>
    <w:rsid w:val="00582E6A"/>
    <w:rsid w:val="00584E30"/>
    <w:rsid w:val="00596402"/>
    <w:rsid w:val="005A0B82"/>
    <w:rsid w:val="005A28BE"/>
    <w:rsid w:val="005A337E"/>
    <w:rsid w:val="005A645F"/>
    <w:rsid w:val="005B08D4"/>
    <w:rsid w:val="005B1EDE"/>
    <w:rsid w:val="005B2C71"/>
    <w:rsid w:val="005B42FB"/>
    <w:rsid w:val="005B4D16"/>
    <w:rsid w:val="005B77C6"/>
    <w:rsid w:val="005C6ED8"/>
    <w:rsid w:val="005C7060"/>
    <w:rsid w:val="005D677C"/>
    <w:rsid w:val="005D6DA7"/>
    <w:rsid w:val="005F1893"/>
    <w:rsid w:val="005F3285"/>
    <w:rsid w:val="005F41B1"/>
    <w:rsid w:val="005F52F3"/>
    <w:rsid w:val="00600CEB"/>
    <w:rsid w:val="006027D9"/>
    <w:rsid w:val="0060618C"/>
    <w:rsid w:val="00606715"/>
    <w:rsid w:val="00607E7A"/>
    <w:rsid w:val="00613613"/>
    <w:rsid w:val="006149E0"/>
    <w:rsid w:val="0062020F"/>
    <w:rsid w:val="006205B4"/>
    <w:rsid w:val="00623EB0"/>
    <w:rsid w:val="006370CF"/>
    <w:rsid w:val="006402EB"/>
    <w:rsid w:val="006404FD"/>
    <w:rsid w:val="00641841"/>
    <w:rsid w:val="006466FD"/>
    <w:rsid w:val="00650795"/>
    <w:rsid w:val="0065227F"/>
    <w:rsid w:val="00661135"/>
    <w:rsid w:val="00661420"/>
    <w:rsid w:val="00661C11"/>
    <w:rsid w:val="006707AF"/>
    <w:rsid w:val="00680449"/>
    <w:rsid w:val="0068120E"/>
    <w:rsid w:val="00693A46"/>
    <w:rsid w:val="00693AC2"/>
    <w:rsid w:val="006940CF"/>
    <w:rsid w:val="0069567A"/>
    <w:rsid w:val="0069687A"/>
    <w:rsid w:val="00696893"/>
    <w:rsid w:val="00696A93"/>
    <w:rsid w:val="006D0797"/>
    <w:rsid w:val="006E25DA"/>
    <w:rsid w:val="006E5E5D"/>
    <w:rsid w:val="006F7B79"/>
    <w:rsid w:val="00700900"/>
    <w:rsid w:val="007016A7"/>
    <w:rsid w:val="00703202"/>
    <w:rsid w:val="007103D6"/>
    <w:rsid w:val="007124AE"/>
    <w:rsid w:val="00716899"/>
    <w:rsid w:val="0072639D"/>
    <w:rsid w:val="0072655B"/>
    <w:rsid w:val="00736012"/>
    <w:rsid w:val="0074084D"/>
    <w:rsid w:val="0074581F"/>
    <w:rsid w:val="00745CEA"/>
    <w:rsid w:val="00747CBB"/>
    <w:rsid w:val="00751CC4"/>
    <w:rsid w:val="0075212A"/>
    <w:rsid w:val="00752749"/>
    <w:rsid w:val="00757313"/>
    <w:rsid w:val="00763882"/>
    <w:rsid w:val="0076645A"/>
    <w:rsid w:val="00767D46"/>
    <w:rsid w:val="00781724"/>
    <w:rsid w:val="0078194A"/>
    <w:rsid w:val="00784641"/>
    <w:rsid w:val="007853A6"/>
    <w:rsid w:val="00790B04"/>
    <w:rsid w:val="00797AF6"/>
    <w:rsid w:val="007A3880"/>
    <w:rsid w:val="007A3E5A"/>
    <w:rsid w:val="007C3A72"/>
    <w:rsid w:val="007C6450"/>
    <w:rsid w:val="007D329E"/>
    <w:rsid w:val="007D3F71"/>
    <w:rsid w:val="007D62A5"/>
    <w:rsid w:val="007D7EF2"/>
    <w:rsid w:val="007E276A"/>
    <w:rsid w:val="007E3497"/>
    <w:rsid w:val="007E34B8"/>
    <w:rsid w:val="007E3D9D"/>
    <w:rsid w:val="007E4094"/>
    <w:rsid w:val="007F0978"/>
    <w:rsid w:val="007F28B1"/>
    <w:rsid w:val="007F2D0E"/>
    <w:rsid w:val="007F457B"/>
    <w:rsid w:val="0080129F"/>
    <w:rsid w:val="00802B4E"/>
    <w:rsid w:val="00802F7E"/>
    <w:rsid w:val="00811A96"/>
    <w:rsid w:val="00813C20"/>
    <w:rsid w:val="0081419E"/>
    <w:rsid w:val="008231AC"/>
    <w:rsid w:val="00833A0F"/>
    <w:rsid w:val="00833A74"/>
    <w:rsid w:val="0083499F"/>
    <w:rsid w:val="00875516"/>
    <w:rsid w:val="00875EC7"/>
    <w:rsid w:val="008768CD"/>
    <w:rsid w:val="008777CD"/>
    <w:rsid w:val="0088214B"/>
    <w:rsid w:val="00882253"/>
    <w:rsid w:val="0088244E"/>
    <w:rsid w:val="008919AC"/>
    <w:rsid w:val="00892FAF"/>
    <w:rsid w:val="00894166"/>
    <w:rsid w:val="00896E79"/>
    <w:rsid w:val="008B2DC6"/>
    <w:rsid w:val="008B683B"/>
    <w:rsid w:val="008C0FFE"/>
    <w:rsid w:val="008C2E01"/>
    <w:rsid w:val="008E014C"/>
    <w:rsid w:val="008F2E06"/>
    <w:rsid w:val="008F4E3F"/>
    <w:rsid w:val="009000C7"/>
    <w:rsid w:val="00902874"/>
    <w:rsid w:val="00902B46"/>
    <w:rsid w:val="00903FC4"/>
    <w:rsid w:val="00914A88"/>
    <w:rsid w:val="00917FE7"/>
    <w:rsid w:val="00922787"/>
    <w:rsid w:val="009331E3"/>
    <w:rsid w:val="00942706"/>
    <w:rsid w:val="00951593"/>
    <w:rsid w:val="00957349"/>
    <w:rsid w:val="00967781"/>
    <w:rsid w:val="009712F8"/>
    <w:rsid w:val="00974690"/>
    <w:rsid w:val="00976B86"/>
    <w:rsid w:val="0097773E"/>
    <w:rsid w:val="00987732"/>
    <w:rsid w:val="009908C2"/>
    <w:rsid w:val="00993D4C"/>
    <w:rsid w:val="00995766"/>
    <w:rsid w:val="009957BD"/>
    <w:rsid w:val="009A002D"/>
    <w:rsid w:val="009B19B7"/>
    <w:rsid w:val="009B1B22"/>
    <w:rsid w:val="009B3086"/>
    <w:rsid w:val="009B6A33"/>
    <w:rsid w:val="009B6A81"/>
    <w:rsid w:val="009C02D9"/>
    <w:rsid w:val="009C0C03"/>
    <w:rsid w:val="009D5317"/>
    <w:rsid w:val="009E0073"/>
    <w:rsid w:val="00A002B7"/>
    <w:rsid w:val="00A0237E"/>
    <w:rsid w:val="00A05677"/>
    <w:rsid w:val="00A0643C"/>
    <w:rsid w:val="00A0694F"/>
    <w:rsid w:val="00A074D0"/>
    <w:rsid w:val="00A13690"/>
    <w:rsid w:val="00A421C7"/>
    <w:rsid w:val="00A42925"/>
    <w:rsid w:val="00A43F02"/>
    <w:rsid w:val="00A47B94"/>
    <w:rsid w:val="00A55F60"/>
    <w:rsid w:val="00A62380"/>
    <w:rsid w:val="00A65D0E"/>
    <w:rsid w:val="00A740DE"/>
    <w:rsid w:val="00A839D6"/>
    <w:rsid w:val="00A878F9"/>
    <w:rsid w:val="00A9362A"/>
    <w:rsid w:val="00A946C7"/>
    <w:rsid w:val="00AA7220"/>
    <w:rsid w:val="00AB054F"/>
    <w:rsid w:val="00AB3732"/>
    <w:rsid w:val="00AB4878"/>
    <w:rsid w:val="00AB4917"/>
    <w:rsid w:val="00AB491F"/>
    <w:rsid w:val="00AC2885"/>
    <w:rsid w:val="00AC5B37"/>
    <w:rsid w:val="00AC6275"/>
    <w:rsid w:val="00AD383E"/>
    <w:rsid w:val="00AD4EBB"/>
    <w:rsid w:val="00AD75F7"/>
    <w:rsid w:val="00AE329F"/>
    <w:rsid w:val="00AE5ED8"/>
    <w:rsid w:val="00AF4FEC"/>
    <w:rsid w:val="00AF6C4B"/>
    <w:rsid w:val="00AF6F02"/>
    <w:rsid w:val="00B02C73"/>
    <w:rsid w:val="00B06731"/>
    <w:rsid w:val="00B17676"/>
    <w:rsid w:val="00B203FB"/>
    <w:rsid w:val="00B2570D"/>
    <w:rsid w:val="00B26C29"/>
    <w:rsid w:val="00B26C7B"/>
    <w:rsid w:val="00B36514"/>
    <w:rsid w:val="00B55C3B"/>
    <w:rsid w:val="00B5619E"/>
    <w:rsid w:val="00B616FB"/>
    <w:rsid w:val="00B62DCA"/>
    <w:rsid w:val="00B654B6"/>
    <w:rsid w:val="00B71E96"/>
    <w:rsid w:val="00B72C60"/>
    <w:rsid w:val="00B74BBC"/>
    <w:rsid w:val="00B7764C"/>
    <w:rsid w:val="00B8429A"/>
    <w:rsid w:val="00B91F09"/>
    <w:rsid w:val="00B94DBB"/>
    <w:rsid w:val="00B96957"/>
    <w:rsid w:val="00BA2593"/>
    <w:rsid w:val="00BA2872"/>
    <w:rsid w:val="00BA37D4"/>
    <w:rsid w:val="00BA686B"/>
    <w:rsid w:val="00BA6FE6"/>
    <w:rsid w:val="00BB0832"/>
    <w:rsid w:val="00BB1291"/>
    <w:rsid w:val="00BE4C36"/>
    <w:rsid w:val="00BE68E4"/>
    <w:rsid w:val="00BE7CB3"/>
    <w:rsid w:val="00C00CF1"/>
    <w:rsid w:val="00C07521"/>
    <w:rsid w:val="00C07C17"/>
    <w:rsid w:val="00C07D3D"/>
    <w:rsid w:val="00C12CD1"/>
    <w:rsid w:val="00C20DE5"/>
    <w:rsid w:val="00C2140B"/>
    <w:rsid w:val="00C22695"/>
    <w:rsid w:val="00C24277"/>
    <w:rsid w:val="00C316B2"/>
    <w:rsid w:val="00C32D4E"/>
    <w:rsid w:val="00C33B6B"/>
    <w:rsid w:val="00C35322"/>
    <w:rsid w:val="00C3555B"/>
    <w:rsid w:val="00C406F7"/>
    <w:rsid w:val="00C442D9"/>
    <w:rsid w:val="00C46D84"/>
    <w:rsid w:val="00C539E8"/>
    <w:rsid w:val="00C53F1C"/>
    <w:rsid w:val="00C54AF7"/>
    <w:rsid w:val="00C555AB"/>
    <w:rsid w:val="00C63461"/>
    <w:rsid w:val="00C71119"/>
    <w:rsid w:val="00C719B0"/>
    <w:rsid w:val="00C944AE"/>
    <w:rsid w:val="00C9786D"/>
    <w:rsid w:val="00CA29FA"/>
    <w:rsid w:val="00CA3397"/>
    <w:rsid w:val="00CA6AF4"/>
    <w:rsid w:val="00CB68A6"/>
    <w:rsid w:val="00CD19A9"/>
    <w:rsid w:val="00CD46DC"/>
    <w:rsid w:val="00CD50EF"/>
    <w:rsid w:val="00CE1140"/>
    <w:rsid w:val="00CF6F63"/>
    <w:rsid w:val="00CF7E14"/>
    <w:rsid w:val="00D1083A"/>
    <w:rsid w:val="00D11709"/>
    <w:rsid w:val="00D16F3E"/>
    <w:rsid w:val="00D17549"/>
    <w:rsid w:val="00D20DE3"/>
    <w:rsid w:val="00D216DE"/>
    <w:rsid w:val="00D21F54"/>
    <w:rsid w:val="00D260A7"/>
    <w:rsid w:val="00D272F1"/>
    <w:rsid w:val="00D334EE"/>
    <w:rsid w:val="00D347AD"/>
    <w:rsid w:val="00D4764E"/>
    <w:rsid w:val="00D520F1"/>
    <w:rsid w:val="00D53C9E"/>
    <w:rsid w:val="00D54116"/>
    <w:rsid w:val="00D56864"/>
    <w:rsid w:val="00D636FF"/>
    <w:rsid w:val="00D66C8B"/>
    <w:rsid w:val="00D71596"/>
    <w:rsid w:val="00D75F26"/>
    <w:rsid w:val="00D8584A"/>
    <w:rsid w:val="00D85D2D"/>
    <w:rsid w:val="00D87CA1"/>
    <w:rsid w:val="00D90787"/>
    <w:rsid w:val="00D9137D"/>
    <w:rsid w:val="00D966EC"/>
    <w:rsid w:val="00DA264B"/>
    <w:rsid w:val="00DB6D69"/>
    <w:rsid w:val="00DC1946"/>
    <w:rsid w:val="00DE1573"/>
    <w:rsid w:val="00DE2808"/>
    <w:rsid w:val="00DE6061"/>
    <w:rsid w:val="00DF30BA"/>
    <w:rsid w:val="00DF649F"/>
    <w:rsid w:val="00DF6AF3"/>
    <w:rsid w:val="00E015E0"/>
    <w:rsid w:val="00E018CA"/>
    <w:rsid w:val="00E03F8D"/>
    <w:rsid w:val="00E04BBA"/>
    <w:rsid w:val="00E04EE0"/>
    <w:rsid w:val="00E140B2"/>
    <w:rsid w:val="00E14D85"/>
    <w:rsid w:val="00E15F4C"/>
    <w:rsid w:val="00E225A3"/>
    <w:rsid w:val="00E230C8"/>
    <w:rsid w:val="00E24278"/>
    <w:rsid w:val="00E2671E"/>
    <w:rsid w:val="00E26D53"/>
    <w:rsid w:val="00E327F5"/>
    <w:rsid w:val="00E4240A"/>
    <w:rsid w:val="00E42593"/>
    <w:rsid w:val="00E46260"/>
    <w:rsid w:val="00E46BA4"/>
    <w:rsid w:val="00E46F8B"/>
    <w:rsid w:val="00E501CF"/>
    <w:rsid w:val="00E540DF"/>
    <w:rsid w:val="00E54672"/>
    <w:rsid w:val="00E71C37"/>
    <w:rsid w:val="00E74147"/>
    <w:rsid w:val="00E75AA7"/>
    <w:rsid w:val="00E86040"/>
    <w:rsid w:val="00E862A9"/>
    <w:rsid w:val="00E92078"/>
    <w:rsid w:val="00E936B2"/>
    <w:rsid w:val="00EB00A0"/>
    <w:rsid w:val="00EB13B2"/>
    <w:rsid w:val="00EB27F7"/>
    <w:rsid w:val="00EB5236"/>
    <w:rsid w:val="00EC55B4"/>
    <w:rsid w:val="00ED13FC"/>
    <w:rsid w:val="00EE17E5"/>
    <w:rsid w:val="00EE3851"/>
    <w:rsid w:val="00EE69C8"/>
    <w:rsid w:val="00EF0A82"/>
    <w:rsid w:val="00F00324"/>
    <w:rsid w:val="00F020FC"/>
    <w:rsid w:val="00F026D2"/>
    <w:rsid w:val="00F05F6D"/>
    <w:rsid w:val="00F10BDB"/>
    <w:rsid w:val="00F10BE0"/>
    <w:rsid w:val="00F172CE"/>
    <w:rsid w:val="00F215DD"/>
    <w:rsid w:val="00F227EF"/>
    <w:rsid w:val="00F23611"/>
    <w:rsid w:val="00F23B7E"/>
    <w:rsid w:val="00F23BBF"/>
    <w:rsid w:val="00F371D3"/>
    <w:rsid w:val="00F372DB"/>
    <w:rsid w:val="00F41747"/>
    <w:rsid w:val="00F41CF8"/>
    <w:rsid w:val="00F43727"/>
    <w:rsid w:val="00F5563B"/>
    <w:rsid w:val="00F557E7"/>
    <w:rsid w:val="00F6237D"/>
    <w:rsid w:val="00F67108"/>
    <w:rsid w:val="00F70907"/>
    <w:rsid w:val="00F75A4E"/>
    <w:rsid w:val="00F81FE5"/>
    <w:rsid w:val="00F83C73"/>
    <w:rsid w:val="00F84EC7"/>
    <w:rsid w:val="00F9500C"/>
    <w:rsid w:val="00F952C0"/>
    <w:rsid w:val="00FA1E19"/>
    <w:rsid w:val="00FA2841"/>
    <w:rsid w:val="00FA788D"/>
    <w:rsid w:val="00FB210D"/>
    <w:rsid w:val="00FB286D"/>
    <w:rsid w:val="00FB291D"/>
    <w:rsid w:val="00FC095C"/>
    <w:rsid w:val="00FC51B1"/>
    <w:rsid w:val="00FC539D"/>
    <w:rsid w:val="00FD6E8B"/>
    <w:rsid w:val="00FD714B"/>
    <w:rsid w:val="00FE18D5"/>
    <w:rsid w:val="00FE34A8"/>
    <w:rsid w:val="00FE6C4F"/>
    <w:rsid w:val="00FF0286"/>
    <w:rsid w:val="00FF624F"/>
    <w:rsid w:val="00FF641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C542"/>
  <w15:chartTrackingRefBased/>
  <w15:docId w15:val="{285EF2B5-BE8D-4C9C-95E4-9C7F345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49"/>
  </w:style>
  <w:style w:type="paragraph" w:styleId="Heading1">
    <w:name w:val="heading 1"/>
    <w:basedOn w:val="Normal"/>
    <w:link w:val="Heading1Char"/>
    <w:uiPriority w:val="9"/>
    <w:qFormat/>
    <w:rsid w:val="000C2940"/>
    <w:pPr>
      <w:outlineLvl w:val="0"/>
    </w:pPr>
    <w:rPr>
      <w:b/>
      <w:bCs/>
      <w:sz w:val="24"/>
      <w:szCs w:val="24"/>
    </w:rPr>
  </w:style>
  <w:style w:type="paragraph" w:styleId="Heading2">
    <w:name w:val="heading 2"/>
    <w:basedOn w:val="Normal"/>
    <w:next w:val="Normal"/>
    <w:link w:val="Heading2Char"/>
    <w:uiPriority w:val="9"/>
    <w:unhideWhenUsed/>
    <w:qFormat/>
    <w:rsid w:val="00D54116"/>
    <w:pPr>
      <w:outlineLvl w:val="1"/>
    </w:pPr>
    <w:rPr>
      <w:b/>
      <w:bCs/>
    </w:rPr>
  </w:style>
  <w:style w:type="paragraph" w:styleId="Heading3">
    <w:name w:val="heading 3"/>
    <w:basedOn w:val="Normal"/>
    <w:next w:val="Normal"/>
    <w:link w:val="Heading3Char"/>
    <w:uiPriority w:val="9"/>
    <w:unhideWhenUsed/>
    <w:qFormat/>
    <w:rsid w:val="00D54116"/>
    <w:pPr>
      <w:outlineLvl w:val="2"/>
    </w:pPr>
    <w:rPr>
      <w:i/>
      <w:iCs/>
    </w:rPr>
  </w:style>
  <w:style w:type="paragraph" w:styleId="Heading4">
    <w:name w:val="heading 4"/>
    <w:basedOn w:val="Normal"/>
    <w:next w:val="Normal"/>
    <w:link w:val="Heading4Char"/>
    <w:uiPriority w:val="9"/>
    <w:semiHidden/>
    <w:unhideWhenUsed/>
    <w:qFormat/>
    <w:rsid w:val="005378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E19"/>
    <w:rPr>
      <w:u w:val="single"/>
    </w:rPr>
  </w:style>
  <w:style w:type="paragraph" w:styleId="ListParagraph">
    <w:name w:val="List Paragraph"/>
    <w:basedOn w:val="Normal"/>
    <w:uiPriority w:val="34"/>
    <w:rsid w:val="00C2140B"/>
    <w:pPr>
      <w:ind w:left="720"/>
      <w:contextualSpacing/>
    </w:pPr>
  </w:style>
  <w:style w:type="paragraph" w:styleId="Header">
    <w:name w:val="header"/>
    <w:basedOn w:val="Normal"/>
    <w:link w:val="HeaderChar"/>
    <w:uiPriority w:val="99"/>
    <w:unhideWhenUsed/>
    <w:rsid w:val="001620AA"/>
    <w:pPr>
      <w:tabs>
        <w:tab w:val="center" w:pos="4513"/>
        <w:tab w:val="right" w:pos="9026"/>
      </w:tabs>
      <w:spacing w:after="0"/>
    </w:pPr>
  </w:style>
  <w:style w:type="character" w:customStyle="1" w:styleId="HeaderChar">
    <w:name w:val="Header Char"/>
    <w:basedOn w:val="DefaultParagraphFont"/>
    <w:link w:val="Header"/>
    <w:uiPriority w:val="99"/>
    <w:rsid w:val="001620AA"/>
  </w:style>
  <w:style w:type="paragraph" w:styleId="Footer">
    <w:name w:val="footer"/>
    <w:basedOn w:val="Normal"/>
    <w:link w:val="FooterChar"/>
    <w:uiPriority w:val="99"/>
    <w:unhideWhenUsed/>
    <w:rsid w:val="001620AA"/>
    <w:pPr>
      <w:tabs>
        <w:tab w:val="center" w:pos="4513"/>
        <w:tab w:val="right" w:pos="9026"/>
      </w:tabs>
      <w:spacing w:after="0"/>
    </w:pPr>
  </w:style>
  <w:style w:type="character" w:customStyle="1" w:styleId="FooterChar">
    <w:name w:val="Footer Char"/>
    <w:basedOn w:val="DefaultParagraphFont"/>
    <w:link w:val="Footer"/>
    <w:uiPriority w:val="99"/>
    <w:rsid w:val="001620AA"/>
  </w:style>
  <w:style w:type="character" w:styleId="UnresolvedMention">
    <w:name w:val="Unresolved Mention"/>
    <w:basedOn w:val="DefaultParagraphFont"/>
    <w:uiPriority w:val="99"/>
    <w:semiHidden/>
    <w:unhideWhenUsed/>
    <w:rsid w:val="00F23611"/>
    <w:rPr>
      <w:color w:val="605E5C"/>
      <w:shd w:val="clear" w:color="auto" w:fill="E1DFDD"/>
    </w:rPr>
  </w:style>
  <w:style w:type="character" w:customStyle="1" w:styleId="base-text-paragraphChar">
    <w:name w:val="base-text-paragraph Char"/>
    <w:basedOn w:val="DefaultParagraphFont"/>
    <w:link w:val="base-text-paragraph"/>
    <w:locked/>
    <w:rsid w:val="005378A4"/>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rsid w:val="005378A4"/>
    <w:pPr>
      <w:tabs>
        <w:tab w:val="num" w:pos="1985"/>
      </w:tabs>
      <w:ind w:left="1134"/>
    </w:pPr>
    <w:rPr>
      <w:rFonts w:ascii="Times New Roman" w:eastAsia="Times New Roman" w:hAnsi="Times New Roman" w:cs="Times New Roman"/>
      <w:szCs w:val="20"/>
      <w:lang w:eastAsia="en-AU"/>
    </w:rPr>
  </w:style>
  <w:style w:type="paragraph" w:customStyle="1" w:styleId="ChapterHeading">
    <w:name w:val="Chapter Heading"/>
    <w:next w:val="Heading2"/>
    <w:rsid w:val="005378A4"/>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bCs/>
      <w:i/>
      <w:sz w:val="38"/>
      <w:szCs w:val="20"/>
      <w:lang w:eastAsia="en-AU"/>
    </w:rPr>
  </w:style>
  <w:style w:type="paragraph" w:customStyle="1" w:styleId="Diagram">
    <w:name w:val="Diagram"/>
    <w:basedOn w:val="Normal"/>
    <w:next w:val="Normal"/>
    <w:rsid w:val="005378A4"/>
    <w:pPr>
      <w:keepNext/>
      <w:numPr>
        <w:ilvl w:val="2"/>
        <w:numId w:val="5"/>
      </w:numPr>
      <w:spacing w:after="0"/>
    </w:pPr>
    <w:rPr>
      <w:rFonts w:ascii="Times New Roman" w:eastAsia="Times New Roman" w:hAnsi="Times New Roman" w:cs="Times New Roman"/>
      <w:b/>
      <w:bCs/>
      <w:szCs w:val="20"/>
      <w:lang w:eastAsia="en-AU"/>
    </w:rPr>
  </w:style>
  <w:style w:type="paragraph" w:customStyle="1" w:styleId="ExampleHeading">
    <w:name w:val="Example Heading"/>
    <w:basedOn w:val="Normal"/>
    <w:next w:val="Normal"/>
    <w:rsid w:val="005378A4"/>
    <w:pPr>
      <w:keepNext/>
      <w:numPr>
        <w:ilvl w:val="3"/>
        <w:numId w:val="5"/>
      </w:numPr>
    </w:pPr>
    <w:rPr>
      <w:rFonts w:ascii="Times New Roman" w:eastAsia="Times New Roman" w:hAnsi="Times New Roman" w:cs="Times New Roman"/>
      <w:b/>
      <w:bCs/>
      <w:szCs w:val="20"/>
      <w:lang w:eastAsia="en-AU"/>
    </w:rPr>
  </w:style>
  <w:style w:type="paragraph" w:customStyle="1" w:styleId="TableHeadingoutsidetable">
    <w:name w:val="Table Heading (outside table)"/>
    <w:basedOn w:val="Heading4"/>
    <w:rsid w:val="005378A4"/>
    <w:pPr>
      <w:keepLines w:val="0"/>
      <w:numPr>
        <w:ilvl w:val="4"/>
        <w:numId w:val="5"/>
      </w:numPr>
      <w:tabs>
        <w:tab w:val="num" w:pos="360"/>
      </w:tabs>
      <w:spacing w:before="120" w:after="200"/>
      <w:ind w:left="0" w:hanging="360"/>
    </w:pPr>
    <w:rPr>
      <w:rFonts w:ascii="Times New Roman" w:eastAsia="Times New Roman" w:hAnsi="Times New Roman" w:cs="Times New Roman"/>
      <w:bCs/>
      <w:i w:val="0"/>
      <w:color w:val="auto"/>
      <w:szCs w:val="20"/>
      <w:lang w:eastAsia="en-AU"/>
    </w:rPr>
  </w:style>
  <w:style w:type="numbering" w:customStyle="1" w:styleId="ChapterList">
    <w:name w:val="ChapterList"/>
    <w:uiPriority w:val="99"/>
    <w:rsid w:val="005378A4"/>
    <w:pPr>
      <w:numPr>
        <w:numId w:val="4"/>
      </w:numPr>
    </w:pPr>
  </w:style>
  <w:style w:type="character" w:customStyle="1" w:styleId="Heading2Char">
    <w:name w:val="Heading 2 Char"/>
    <w:basedOn w:val="DefaultParagraphFont"/>
    <w:link w:val="Heading2"/>
    <w:uiPriority w:val="9"/>
    <w:rsid w:val="00D54116"/>
    <w:rPr>
      <w:b/>
      <w:bCs/>
    </w:rPr>
  </w:style>
  <w:style w:type="character" w:customStyle="1" w:styleId="Heading4Char">
    <w:name w:val="Heading 4 Char"/>
    <w:basedOn w:val="DefaultParagraphFont"/>
    <w:link w:val="Heading4"/>
    <w:uiPriority w:val="9"/>
    <w:semiHidden/>
    <w:rsid w:val="005378A4"/>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72C60"/>
    <w:pPr>
      <w:spacing w:after="0"/>
    </w:pPr>
  </w:style>
  <w:style w:type="character" w:customStyle="1" w:styleId="Heading1Char">
    <w:name w:val="Heading 1 Char"/>
    <w:basedOn w:val="DefaultParagraphFont"/>
    <w:link w:val="Heading1"/>
    <w:uiPriority w:val="9"/>
    <w:rsid w:val="000C2940"/>
    <w:rPr>
      <w:b/>
      <w:bCs/>
      <w:sz w:val="24"/>
      <w:szCs w:val="24"/>
    </w:rPr>
  </w:style>
  <w:style w:type="character" w:customStyle="1" w:styleId="field">
    <w:name w:val="field"/>
    <w:basedOn w:val="DefaultParagraphFont"/>
    <w:rsid w:val="008C0FFE"/>
  </w:style>
  <w:style w:type="paragraph" w:styleId="Date">
    <w:name w:val="Date"/>
    <w:basedOn w:val="Normal"/>
    <w:next w:val="Normal"/>
    <w:link w:val="DateChar"/>
    <w:uiPriority w:val="99"/>
    <w:semiHidden/>
    <w:unhideWhenUsed/>
    <w:rsid w:val="007124AE"/>
  </w:style>
  <w:style w:type="character" w:customStyle="1" w:styleId="DateChar">
    <w:name w:val="Date Char"/>
    <w:basedOn w:val="DefaultParagraphFont"/>
    <w:link w:val="Date"/>
    <w:uiPriority w:val="99"/>
    <w:semiHidden/>
    <w:rsid w:val="007124AE"/>
  </w:style>
  <w:style w:type="character" w:customStyle="1" w:styleId="Heading3Char">
    <w:name w:val="Heading 3 Char"/>
    <w:basedOn w:val="DefaultParagraphFont"/>
    <w:link w:val="Heading3"/>
    <w:uiPriority w:val="9"/>
    <w:rsid w:val="00D54116"/>
    <w:rPr>
      <w:i/>
      <w:iCs/>
    </w:rPr>
  </w:style>
  <w:style w:type="table" w:styleId="TableGrid">
    <w:name w:val="Table Grid"/>
    <w:basedOn w:val="TableNormal"/>
    <w:uiPriority w:val="39"/>
    <w:rsid w:val="00FE6C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C35322"/>
    <w:pPr>
      <w:numPr>
        <w:numId w:val="20"/>
      </w:numPr>
      <w:tabs>
        <w:tab w:val="left" w:pos="567"/>
      </w:tabs>
      <w:ind w:left="567" w:hanging="567"/>
    </w:pPr>
  </w:style>
  <w:style w:type="paragraph" w:styleId="ListBullet2">
    <w:name w:val="List Bullet 2"/>
    <w:basedOn w:val="ListParagraph"/>
    <w:uiPriority w:val="99"/>
    <w:unhideWhenUsed/>
    <w:qFormat/>
    <w:rsid w:val="00C35322"/>
    <w:pPr>
      <w:numPr>
        <w:ilvl w:val="1"/>
        <w:numId w:val="20"/>
      </w:numPr>
      <w:ind w:left="1134" w:hanging="567"/>
    </w:pPr>
  </w:style>
  <w:style w:type="paragraph" w:styleId="ListBullet3">
    <w:name w:val="List Bullet 3"/>
    <w:basedOn w:val="ListParagraph"/>
    <w:uiPriority w:val="99"/>
    <w:unhideWhenUsed/>
    <w:rsid w:val="00C35322"/>
    <w:pPr>
      <w:numPr>
        <w:ilvl w:val="2"/>
        <w:numId w:val="20"/>
      </w:numPr>
      <w:tabs>
        <w:tab w:val="left" w:pos="1701"/>
      </w:tabs>
      <w:ind w:left="1701" w:hanging="567"/>
    </w:pPr>
  </w:style>
  <w:style w:type="paragraph" w:styleId="ListNumber3">
    <w:name w:val="List Number 3"/>
    <w:basedOn w:val="ListParagraph"/>
    <w:uiPriority w:val="99"/>
    <w:unhideWhenUsed/>
    <w:qFormat/>
    <w:rsid w:val="00C442D9"/>
    <w:pPr>
      <w:numPr>
        <w:ilvl w:val="2"/>
        <w:numId w:val="21"/>
      </w:numPr>
      <w:ind w:left="1701" w:hanging="567"/>
    </w:pPr>
  </w:style>
  <w:style w:type="paragraph" w:styleId="ListNumber2">
    <w:name w:val="List Number 2"/>
    <w:basedOn w:val="ListParagraph"/>
    <w:uiPriority w:val="99"/>
    <w:unhideWhenUsed/>
    <w:qFormat/>
    <w:rsid w:val="00C442D9"/>
    <w:pPr>
      <w:numPr>
        <w:ilvl w:val="1"/>
        <w:numId w:val="21"/>
      </w:numPr>
      <w:ind w:left="1134" w:hanging="567"/>
    </w:pPr>
  </w:style>
  <w:style w:type="paragraph" w:styleId="ListNumber">
    <w:name w:val="List Number"/>
    <w:basedOn w:val="ListParagraph"/>
    <w:uiPriority w:val="99"/>
    <w:unhideWhenUsed/>
    <w:qFormat/>
    <w:rsid w:val="00C442D9"/>
    <w:pPr>
      <w:numPr>
        <w:numId w:val="21"/>
      </w:numPr>
      <w:ind w:left="567" w:hanging="567"/>
    </w:pPr>
  </w:style>
  <w:style w:type="character" w:styleId="FollowedHyperlink">
    <w:name w:val="FollowedHyperlink"/>
    <w:basedOn w:val="Hyperlink"/>
    <w:uiPriority w:val="99"/>
    <w:unhideWhenUsed/>
    <w:rsid w:val="00FA1E19"/>
    <w:rPr>
      <w:u w:val="single"/>
    </w:rPr>
  </w:style>
  <w:style w:type="paragraph" w:styleId="Quote">
    <w:name w:val="Quote"/>
    <w:basedOn w:val="Normal"/>
    <w:next w:val="Normal"/>
    <w:link w:val="QuoteChar"/>
    <w:uiPriority w:val="29"/>
    <w:qFormat/>
    <w:rsid w:val="00E86040"/>
    <w:pPr>
      <w:ind w:left="567" w:right="521"/>
    </w:pPr>
    <w:rPr>
      <w:i/>
      <w:iCs/>
    </w:rPr>
  </w:style>
  <w:style w:type="character" w:customStyle="1" w:styleId="QuoteChar">
    <w:name w:val="Quote Char"/>
    <w:basedOn w:val="DefaultParagraphFont"/>
    <w:link w:val="Quote"/>
    <w:uiPriority w:val="29"/>
    <w:rsid w:val="00E86040"/>
    <w:rPr>
      <w:i/>
      <w:iCs/>
    </w:rPr>
  </w:style>
  <w:style w:type="paragraph" w:styleId="FootnoteText">
    <w:name w:val="footnote text"/>
    <w:basedOn w:val="Normal"/>
    <w:link w:val="FootnoteTextChar"/>
    <w:uiPriority w:val="99"/>
    <w:unhideWhenUsed/>
    <w:rsid w:val="000B3B86"/>
    <w:pPr>
      <w:spacing w:before="0" w:after="0"/>
      <w:ind w:left="284" w:hanging="284"/>
    </w:pPr>
    <w:rPr>
      <w:bCs/>
      <w:sz w:val="20"/>
      <w:szCs w:val="20"/>
    </w:rPr>
  </w:style>
  <w:style w:type="character" w:customStyle="1" w:styleId="FootnoteTextChar">
    <w:name w:val="Footnote Text Char"/>
    <w:basedOn w:val="DefaultParagraphFont"/>
    <w:link w:val="FootnoteText"/>
    <w:uiPriority w:val="99"/>
    <w:rsid w:val="000B3B86"/>
    <w:rPr>
      <w:bCs/>
      <w:sz w:val="20"/>
      <w:szCs w:val="20"/>
    </w:rPr>
  </w:style>
  <w:style w:type="character" w:styleId="FootnoteReference">
    <w:name w:val="footnote reference"/>
    <w:basedOn w:val="DefaultParagraphFont"/>
    <w:uiPriority w:val="99"/>
    <w:semiHidden/>
    <w:unhideWhenUsed/>
    <w:rsid w:val="00D476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1494">
      <w:bodyDiv w:val="1"/>
      <w:marLeft w:val="0"/>
      <w:marRight w:val="0"/>
      <w:marTop w:val="0"/>
      <w:marBottom w:val="0"/>
      <w:divBdr>
        <w:top w:val="none" w:sz="0" w:space="0" w:color="auto"/>
        <w:left w:val="none" w:sz="0" w:space="0" w:color="auto"/>
        <w:bottom w:val="none" w:sz="0" w:space="0" w:color="auto"/>
        <w:right w:val="none" w:sz="0" w:space="0" w:color="auto"/>
      </w:divBdr>
    </w:div>
    <w:div w:id="218785878">
      <w:bodyDiv w:val="1"/>
      <w:marLeft w:val="0"/>
      <w:marRight w:val="0"/>
      <w:marTop w:val="0"/>
      <w:marBottom w:val="0"/>
      <w:divBdr>
        <w:top w:val="none" w:sz="0" w:space="0" w:color="auto"/>
        <w:left w:val="none" w:sz="0" w:space="0" w:color="auto"/>
        <w:bottom w:val="none" w:sz="0" w:space="0" w:color="auto"/>
        <w:right w:val="none" w:sz="0" w:space="0" w:color="auto"/>
      </w:divBdr>
    </w:div>
    <w:div w:id="223566162">
      <w:bodyDiv w:val="1"/>
      <w:marLeft w:val="0"/>
      <w:marRight w:val="0"/>
      <w:marTop w:val="0"/>
      <w:marBottom w:val="0"/>
      <w:divBdr>
        <w:top w:val="none" w:sz="0" w:space="0" w:color="auto"/>
        <w:left w:val="none" w:sz="0" w:space="0" w:color="auto"/>
        <w:bottom w:val="none" w:sz="0" w:space="0" w:color="auto"/>
        <w:right w:val="none" w:sz="0" w:space="0" w:color="auto"/>
      </w:divBdr>
    </w:div>
    <w:div w:id="277881278">
      <w:bodyDiv w:val="1"/>
      <w:marLeft w:val="0"/>
      <w:marRight w:val="0"/>
      <w:marTop w:val="0"/>
      <w:marBottom w:val="0"/>
      <w:divBdr>
        <w:top w:val="none" w:sz="0" w:space="0" w:color="auto"/>
        <w:left w:val="none" w:sz="0" w:space="0" w:color="auto"/>
        <w:bottom w:val="none" w:sz="0" w:space="0" w:color="auto"/>
        <w:right w:val="none" w:sz="0" w:space="0" w:color="auto"/>
      </w:divBdr>
    </w:div>
    <w:div w:id="460658752">
      <w:bodyDiv w:val="1"/>
      <w:marLeft w:val="0"/>
      <w:marRight w:val="0"/>
      <w:marTop w:val="0"/>
      <w:marBottom w:val="0"/>
      <w:divBdr>
        <w:top w:val="none" w:sz="0" w:space="0" w:color="auto"/>
        <w:left w:val="none" w:sz="0" w:space="0" w:color="auto"/>
        <w:bottom w:val="none" w:sz="0" w:space="0" w:color="auto"/>
        <w:right w:val="none" w:sz="0" w:space="0" w:color="auto"/>
      </w:divBdr>
    </w:div>
    <w:div w:id="620111382">
      <w:bodyDiv w:val="1"/>
      <w:marLeft w:val="0"/>
      <w:marRight w:val="0"/>
      <w:marTop w:val="0"/>
      <w:marBottom w:val="0"/>
      <w:divBdr>
        <w:top w:val="none" w:sz="0" w:space="0" w:color="auto"/>
        <w:left w:val="none" w:sz="0" w:space="0" w:color="auto"/>
        <w:bottom w:val="none" w:sz="0" w:space="0" w:color="auto"/>
        <w:right w:val="none" w:sz="0" w:space="0" w:color="auto"/>
      </w:divBdr>
    </w:div>
    <w:div w:id="770515081">
      <w:bodyDiv w:val="1"/>
      <w:marLeft w:val="0"/>
      <w:marRight w:val="0"/>
      <w:marTop w:val="0"/>
      <w:marBottom w:val="0"/>
      <w:divBdr>
        <w:top w:val="none" w:sz="0" w:space="0" w:color="auto"/>
        <w:left w:val="none" w:sz="0" w:space="0" w:color="auto"/>
        <w:bottom w:val="none" w:sz="0" w:space="0" w:color="auto"/>
        <w:right w:val="none" w:sz="0" w:space="0" w:color="auto"/>
      </w:divBdr>
    </w:div>
    <w:div w:id="902135675">
      <w:bodyDiv w:val="1"/>
      <w:marLeft w:val="0"/>
      <w:marRight w:val="0"/>
      <w:marTop w:val="0"/>
      <w:marBottom w:val="0"/>
      <w:divBdr>
        <w:top w:val="none" w:sz="0" w:space="0" w:color="auto"/>
        <w:left w:val="none" w:sz="0" w:space="0" w:color="auto"/>
        <w:bottom w:val="none" w:sz="0" w:space="0" w:color="auto"/>
        <w:right w:val="none" w:sz="0" w:space="0" w:color="auto"/>
      </w:divBdr>
    </w:div>
    <w:div w:id="926303252">
      <w:bodyDiv w:val="1"/>
      <w:marLeft w:val="0"/>
      <w:marRight w:val="0"/>
      <w:marTop w:val="0"/>
      <w:marBottom w:val="0"/>
      <w:divBdr>
        <w:top w:val="none" w:sz="0" w:space="0" w:color="auto"/>
        <w:left w:val="none" w:sz="0" w:space="0" w:color="auto"/>
        <w:bottom w:val="none" w:sz="0" w:space="0" w:color="auto"/>
        <w:right w:val="none" w:sz="0" w:space="0" w:color="auto"/>
      </w:divBdr>
    </w:div>
    <w:div w:id="959341384">
      <w:bodyDiv w:val="1"/>
      <w:marLeft w:val="0"/>
      <w:marRight w:val="0"/>
      <w:marTop w:val="0"/>
      <w:marBottom w:val="0"/>
      <w:divBdr>
        <w:top w:val="none" w:sz="0" w:space="0" w:color="auto"/>
        <w:left w:val="none" w:sz="0" w:space="0" w:color="auto"/>
        <w:bottom w:val="none" w:sz="0" w:space="0" w:color="auto"/>
        <w:right w:val="none" w:sz="0" w:space="0" w:color="auto"/>
      </w:divBdr>
    </w:div>
    <w:div w:id="963001469">
      <w:bodyDiv w:val="1"/>
      <w:marLeft w:val="0"/>
      <w:marRight w:val="0"/>
      <w:marTop w:val="0"/>
      <w:marBottom w:val="0"/>
      <w:divBdr>
        <w:top w:val="none" w:sz="0" w:space="0" w:color="auto"/>
        <w:left w:val="none" w:sz="0" w:space="0" w:color="auto"/>
        <w:bottom w:val="none" w:sz="0" w:space="0" w:color="auto"/>
        <w:right w:val="none" w:sz="0" w:space="0" w:color="auto"/>
      </w:divBdr>
    </w:div>
    <w:div w:id="1024749478">
      <w:bodyDiv w:val="1"/>
      <w:marLeft w:val="0"/>
      <w:marRight w:val="0"/>
      <w:marTop w:val="0"/>
      <w:marBottom w:val="0"/>
      <w:divBdr>
        <w:top w:val="none" w:sz="0" w:space="0" w:color="auto"/>
        <w:left w:val="none" w:sz="0" w:space="0" w:color="auto"/>
        <w:bottom w:val="none" w:sz="0" w:space="0" w:color="auto"/>
        <w:right w:val="none" w:sz="0" w:space="0" w:color="auto"/>
      </w:divBdr>
    </w:div>
    <w:div w:id="1367871786">
      <w:bodyDiv w:val="1"/>
      <w:marLeft w:val="0"/>
      <w:marRight w:val="0"/>
      <w:marTop w:val="0"/>
      <w:marBottom w:val="0"/>
      <w:divBdr>
        <w:top w:val="none" w:sz="0" w:space="0" w:color="auto"/>
        <w:left w:val="none" w:sz="0" w:space="0" w:color="auto"/>
        <w:bottom w:val="none" w:sz="0" w:space="0" w:color="auto"/>
        <w:right w:val="none" w:sz="0" w:space="0" w:color="auto"/>
      </w:divBdr>
    </w:div>
    <w:div w:id="1910262100">
      <w:bodyDiv w:val="1"/>
      <w:marLeft w:val="0"/>
      <w:marRight w:val="0"/>
      <w:marTop w:val="0"/>
      <w:marBottom w:val="0"/>
      <w:divBdr>
        <w:top w:val="none" w:sz="0" w:space="0" w:color="auto"/>
        <w:left w:val="none" w:sz="0" w:space="0" w:color="auto"/>
        <w:bottom w:val="none" w:sz="0" w:space="0" w:color="auto"/>
        <w:right w:val="none" w:sz="0" w:space="0" w:color="auto"/>
      </w:divBdr>
    </w:div>
    <w:div w:id="1982540506">
      <w:bodyDiv w:val="1"/>
      <w:marLeft w:val="0"/>
      <w:marRight w:val="0"/>
      <w:marTop w:val="0"/>
      <w:marBottom w:val="0"/>
      <w:divBdr>
        <w:top w:val="none" w:sz="0" w:space="0" w:color="auto"/>
        <w:left w:val="none" w:sz="0" w:space="0" w:color="auto"/>
        <w:bottom w:val="none" w:sz="0" w:space="0" w:color="auto"/>
        <w:right w:val="none" w:sz="0" w:space="0" w:color="auto"/>
      </w:divBdr>
    </w:div>
    <w:div w:id="21319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y.greco@publicaccountants.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24FB370F93543824837F0A36BBA41" ma:contentTypeVersion="19" ma:contentTypeDescription="Create a new document." ma:contentTypeScope="" ma:versionID="44bd05148cfd7ce5ad83c867225fc682">
  <xsd:schema xmlns:xsd="http://www.w3.org/2001/XMLSchema" xmlns:xs="http://www.w3.org/2001/XMLSchema" xmlns:p="http://schemas.microsoft.com/office/2006/metadata/properties" xmlns:ns1="http://schemas.microsoft.com/sharepoint/v3" xmlns:ns2="95197d4d-68bf-4a48-9c30-60d389bfe3ef" xmlns:ns3="f5093456-ffe9-4c0a-b784-797dbc0390b9" targetNamespace="http://schemas.microsoft.com/office/2006/metadata/properties" ma:root="true" ma:fieldsID="8525ff941268c5444c54f3419ff260c8" ns1:_="" ns2:_="" ns3:_="">
    <xsd:import namespace="http://schemas.microsoft.com/sharepoint/v3"/>
    <xsd:import namespace="95197d4d-68bf-4a48-9c30-60d389bfe3ef"/>
    <xsd:import namespace="f5093456-ffe9-4c0a-b784-797dbc039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7d4d-68bf-4a48-9c30-60d389bf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f98e71-1b88-4537-a02f-5c137ddcf55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93456-ffe9-4c0a-b784-797dbc0390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25eb30-54b3-451e-9b5f-cb38a11cf905}" ma:internalName="TaxCatchAll" ma:showField="CatchAllData" ma:web="f5093456-ffe9-4c0a-b784-797dbc03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5093456-ffe9-4c0a-b784-797dbc0390b9">
      <UserInfo>
        <DisplayName/>
        <AccountId xsi:nil="true"/>
        <AccountType/>
      </UserInfo>
    </SharedWithUsers>
    <TaxCatchAll xmlns="f5093456-ffe9-4c0a-b784-797dbc0390b9" xsi:nil="true"/>
    <lcf76f155ced4ddcb4097134ff3c332f xmlns="95197d4d-68bf-4a48-9c30-60d389bfe3e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7CA5-8F13-4A74-AC20-B79CBADC15F5}">
  <ds:schemaRefs>
    <ds:schemaRef ds:uri="http://schemas.microsoft.com/sharepoint/v3/contenttype/forms"/>
  </ds:schemaRefs>
</ds:datastoreItem>
</file>

<file path=customXml/itemProps2.xml><?xml version="1.0" encoding="utf-8"?>
<ds:datastoreItem xmlns:ds="http://schemas.openxmlformats.org/officeDocument/2006/customXml" ds:itemID="{DA670253-42FB-461B-B86D-0A0833A5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97d4d-68bf-4a48-9c30-60d389bfe3ef"/>
    <ds:schemaRef ds:uri="f5093456-ffe9-4c0a-b784-797dbc03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70249-E576-4232-9B4C-A2AD90A17967}">
  <ds:schemaRefs>
    <ds:schemaRef ds:uri="http://schemas.microsoft.com/office/2006/metadata/properties"/>
    <ds:schemaRef ds:uri="http://schemas.microsoft.com/office/infopath/2007/PartnerControls"/>
    <ds:schemaRef ds:uri="f5093456-ffe9-4c0a-b784-797dbc0390b9"/>
    <ds:schemaRef ds:uri="95197d4d-68bf-4a48-9c30-60d389bfe3ef"/>
    <ds:schemaRef ds:uri="http://schemas.microsoft.com/sharepoint/v3"/>
  </ds:schemaRefs>
</ds:datastoreItem>
</file>

<file path=customXml/itemProps4.xml><?xml version="1.0" encoding="utf-8"?>
<ds:datastoreItem xmlns:ds="http://schemas.openxmlformats.org/officeDocument/2006/customXml" ds:itemID="{DF129312-EC79-4303-BE05-BD50A207EF36}">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Bushnell</dc:creator>
  <cp:keywords/>
  <dc:description/>
  <cp:lastModifiedBy>Tony Greco</cp:lastModifiedBy>
  <cp:revision>2</cp:revision>
  <cp:lastPrinted>2021-04-27T06:08:00Z</cp:lastPrinted>
  <dcterms:created xsi:type="dcterms:W3CDTF">2025-07-24T07:42:00Z</dcterms:created>
  <dcterms:modified xsi:type="dcterms:W3CDTF">2025-07-24T07:42:00Z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0x010100AB924FB370F93543824837F0A36BBA41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